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D04" w:rsidRPr="003C0D04" w:rsidRDefault="003C0D04" w:rsidP="003C0D04">
      <w:pPr>
        <w:spacing w:after="240" w:line="240" w:lineRule="auto"/>
        <w:ind w:left="567"/>
        <w:jc w:val="center"/>
        <w:rPr>
          <w:rFonts w:ascii="Arial" w:eastAsia="Times New Roman" w:hAnsi="Arial" w:cs="Arial"/>
          <w:color w:val="000000"/>
          <w:lang w:eastAsia="es-ES"/>
        </w:rPr>
      </w:pPr>
      <w:r w:rsidRPr="003C0D04">
        <w:rPr>
          <w:rFonts w:ascii="Arial" w:eastAsia="Times New Roman" w:hAnsi="Arial" w:cs="Arial"/>
          <w:color w:val="000000"/>
          <w:lang w:eastAsia="es-ES"/>
        </w:rPr>
        <w:t>SENTENCIA DEL TRIBUNAL DE JUSTICIA (Sala Primera)</w:t>
      </w:r>
    </w:p>
    <w:p w:rsidR="003C0D04" w:rsidRPr="003C0D04" w:rsidRDefault="003C0D04" w:rsidP="003C0D04">
      <w:pPr>
        <w:spacing w:after="240" w:line="240" w:lineRule="auto"/>
        <w:ind w:left="567"/>
        <w:jc w:val="center"/>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de</w:t>
      </w:r>
      <w:proofErr w:type="gramEnd"/>
      <w:r w:rsidRPr="003C0D04">
        <w:rPr>
          <w:rFonts w:ascii="Arial" w:eastAsia="Times New Roman" w:hAnsi="Arial" w:cs="Arial"/>
          <w:color w:val="000000"/>
          <w:lang w:eastAsia="es-ES"/>
        </w:rPr>
        <w:t xml:space="preserve"> 21 de enero de 2015 (</w:t>
      </w:r>
      <w:bookmarkStart w:id="0" w:name="Footref*"/>
      <w:r w:rsidRPr="003C0D04">
        <w:rPr>
          <w:rFonts w:ascii="Arial" w:eastAsia="Times New Roman" w:hAnsi="Arial" w:cs="Arial"/>
          <w:color w:val="000000"/>
          <w:lang w:eastAsia="es-ES"/>
        </w:rPr>
        <w:fldChar w:fldCharType="begin"/>
      </w:r>
      <w:r w:rsidRPr="003C0D04">
        <w:rPr>
          <w:rFonts w:ascii="Arial" w:eastAsia="Times New Roman" w:hAnsi="Arial" w:cs="Arial"/>
          <w:color w:val="000000"/>
          <w:lang w:eastAsia="es-ES"/>
        </w:rPr>
        <w:instrText xml:space="preserve"> HYPERLINK "http://eur-lex.europa.eu/legal-content/ES/TXT/HTML/?uri=CELEX:62013CJ0482&amp;from=ES" \l "Footnote*" </w:instrText>
      </w:r>
      <w:r w:rsidRPr="003C0D04">
        <w:rPr>
          <w:rFonts w:ascii="Arial" w:eastAsia="Times New Roman" w:hAnsi="Arial" w:cs="Arial"/>
          <w:color w:val="000000"/>
          <w:lang w:eastAsia="es-ES"/>
        </w:rPr>
        <w:fldChar w:fldCharType="separate"/>
      </w:r>
      <w:r w:rsidRPr="003C0D04">
        <w:rPr>
          <w:rFonts w:ascii="Arial" w:eastAsia="Times New Roman" w:hAnsi="Arial" w:cs="Arial"/>
          <w:color w:val="0000FF"/>
          <w:u w:val="single"/>
          <w:lang w:eastAsia="es-ES"/>
        </w:rPr>
        <w:t>*</w:t>
      </w:r>
      <w:r w:rsidRPr="003C0D04">
        <w:rPr>
          <w:rFonts w:ascii="Arial" w:eastAsia="Times New Roman" w:hAnsi="Arial" w:cs="Arial"/>
          <w:color w:val="000000"/>
          <w:lang w:eastAsia="es-ES"/>
        </w:rPr>
        <w:fldChar w:fldCharType="end"/>
      </w:r>
      <w:bookmarkEnd w:id="0"/>
      <w:r w:rsidRPr="003C0D04">
        <w:rPr>
          <w:rFonts w:ascii="Arial" w:eastAsia="Times New Roman" w:hAnsi="Arial" w:cs="Arial"/>
          <w:color w:val="000000"/>
          <w:lang w:eastAsia="es-ES"/>
        </w:rPr>
        <w:t>)</w:t>
      </w:r>
    </w:p>
    <w:p w:rsidR="003C0D04" w:rsidRPr="003C0D04" w:rsidRDefault="003C0D04" w:rsidP="003C0D04">
      <w:pPr>
        <w:spacing w:before="600" w:after="560" w:line="240" w:lineRule="auto"/>
        <w:ind w:left="567"/>
        <w:jc w:val="center"/>
        <w:rPr>
          <w:rFonts w:ascii="Arial" w:eastAsia="Times New Roman" w:hAnsi="Arial" w:cs="Arial"/>
          <w:color w:val="000000"/>
          <w:lang w:eastAsia="es-ES"/>
        </w:rPr>
      </w:pPr>
      <w:r w:rsidRPr="003C0D04">
        <w:rPr>
          <w:rFonts w:ascii="Arial" w:eastAsia="Times New Roman" w:hAnsi="Arial" w:cs="Arial"/>
          <w:color w:val="000000"/>
          <w:lang w:eastAsia="es-ES"/>
        </w:rPr>
        <w:t>«Procedimiento prejudicial — Directiva 93/13/CEE — Contratos celebrados entre profesionales y consumidores — Contratos de crédito hipotecario — Cláusulas de intereses de demora — Cláusulas abusivas — Procedimiento de ejecución hipotecaria — Reducción del importe de los intereses — Competencias del órgano jurisdiccional nacional»</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En los asuntos acumulados C</w:t>
      </w:r>
      <w:r w:rsidRPr="003C0D04">
        <w:rPr>
          <w:rFonts w:ascii="Arial" w:eastAsia="Times New Roman" w:hAnsi="Arial" w:cs="Arial"/>
          <w:color w:val="000000"/>
          <w:lang w:eastAsia="es-ES"/>
        </w:rPr>
        <w:noBreakHyphen/>
        <w:t>482/13, C</w:t>
      </w:r>
      <w:r w:rsidRPr="003C0D04">
        <w:rPr>
          <w:rFonts w:ascii="Arial" w:eastAsia="Times New Roman" w:hAnsi="Arial" w:cs="Arial"/>
          <w:color w:val="000000"/>
          <w:lang w:eastAsia="es-ES"/>
        </w:rPr>
        <w:noBreakHyphen/>
        <w:t>484/13, C</w:t>
      </w:r>
      <w:r w:rsidRPr="003C0D04">
        <w:rPr>
          <w:rFonts w:ascii="Arial" w:eastAsia="Times New Roman" w:hAnsi="Arial" w:cs="Arial"/>
          <w:color w:val="000000"/>
          <w:lang w:eastAsia="es-ES"/>
        </w:rPr>
        <w:noBreakHyphen/>
        <w:t>485/13 y C</w:t>
      </w:r>
      <w:r w:rsidRPr="003C0D04">
        <w:rPr>
          <w:rFonts w:ascii="Arial" w:eastAsia="Times New Roman" w:hAnsi="Arial" w:cs="Arial"/>
          <w:color w:val="000000"/>
          <w:lang w:eastAsia="es-ES"/>
        </w:rPr>
        <w:noBreakHyphen/>
        <w:t>487/13,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que tienen por objeto sendas peticiones de decisión prejudicial planteadas, con arreglo al artículo 267 TFUE, por el Juzgado de Primera Instancia e Instrucción nº 2 de Marchena (Sevilla), mediante resoluciones de 12 de agosto de 2013, recibidas en el Tribunal de Justicia el 10 de septiembre de 2013, en los litigios entre</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spellStart"/>
      <w:r w:rsidRPr="003C0D04">
        <w:rPr>
          <w:rFonts w:ascii="Arial" w:eastAsia="Times New Roman" w:hAnsi="Arial" w:cs="Arial"/>
          <w:b/>
          <w:bCs/>
          <w:color w:val="000000"/>
          <w:lang w:eastAsia="es-ES"/>
        </w:rPr>
        <w:t>Unicaja</w:t>
      </w:r>
      <w:proofErr w:type="spellEnd"/>
      <w:r w:rsidRPr="003C0D04">
        <w:rPr>
          <w:rFonts w:ascii="Arial" w:eastAsia="Times New Roman" w:hAnsi="Arial" w:cs="Arial"/>
          <w:b/>
          <w:bCs/>
          <w:color w:val="000000"/>
          <w:lang w:eastAsia="es-ES"/>
        </w:rPr>
        <w:t xml:space="preserve"> Banco, S.A.</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y</w:t>
      </w:r>
      <w:proofErr w:type="gramEnd"/>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José Hidalgo Rueda</w:t>
      </w:r>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María del Carmen Vega Martín</w:t>
      </w:r>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 xml:space="preserve">Gestión Patrimonial </w:t>
      </w:r>
      <w:proofErr w:type="spellStart"/>
      <w:r w:rsidRPr="003C0D04">
        <w:rPr>
          <w:rFonts w:ascii="Arial" w:eastAsia="Times New Roman" w:hAnsi="Arial" w:cs="Arial"/>
          <w:b/>
          <w:bCs/>
          <w:color w:val="000000"/>
          <w:lang w:eastAsia="es-ES"/>
        </w:rPr>
        <w:t>Hive</w:t>
      </w:r>
      <w:proofErr w:type="spellEnd"/>
      <w:r w:rsidRPr="003C0D04">
        <w:rPr>
          <w:rFonts w:ascii="Arial" w:eastAsia="Times New Roman" w:hAnsi="Arial" w:cs="Arial"/>
          <w:b/>
          <w:bCs/>
          <w:color w:val="000000"/>
          <w:lang w:eastAsia="es-ES"/>
        </w:rPr>
        <w:t>, S.L</w:t>
      </w:r>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Francisco Antonio López Reina</w:t>
      </w:r>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Rosa María Hidalgo Vega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482/13),</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y</w:t>
      </w:r>
      <w:proofErr w:type="gramEnd"/>
      <w:r w:rsidRPr="003C0D04">
        <w:rPr>
          <w:rFonts w:ascii="Arial" w:eastAsia="Times New Roman" w:hAnsi="Arial" w:cs="Arial"/>
          <w:color w:val="000000"/>
          <w:lang w:eastAsia="es-ES"/>
        </w:rPr>
        <w:t xml:space="preserve"> entre</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spellStart"/>
      <w:r w:rsidRPr="003C0D04">
        <w:rPr>
          <w:rFonts w:ascii="Arial" w:eastAsia="Times New Roman" w:hAnsi="Arial" w:cs="Arial"/>
          <w:b/>
          <w:bCs/>
          <w:color w:val="000000"/>
          <w:lang w:eastAsia="es-ES"/>
        </w:rPr>
        <w:t>Caixabank</w:t>
      </w:r>
      <w:proofErr w:type="spellEnd"/>
      <w:r w:rsidRPr="003C0D04">
        <w:rPr>
          <w:rFonts w:ascii="Arial" w:eastAsia="Times New Roman" w:hAnsi="Arial" w:cs="Arial"/>
          <w:b/>
          <w:bCs/>
          <w:color w:val="000000"/>
          <w:lang w:eastAsia="es-ES"/>
        </w:rPr>
        <w:t>, S.A.</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y</w:t>
      </w:r>
      <w:proofErr w:type="gramEnd"/>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Manuel María Rueda Ledesma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484/13),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Rosario Mesa Mesa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484/13),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 xml:space="preserve">José </w:t>
      </w:r>
      <w:proofErr w:type="spellStart"/>
      <w:r w:rsidRPr="003C0D04">
        <w:rPr>
          <w:rFonts w:ascii="Arial" w:eastAsia="Times New Roman" w:hAnsi="Arial" w:cs="Arial"/>
          <w:b/>
          <w:bCs/>
          <w:color w:val="000000"/>
          <w:lang w:eastAsia="es-ES"/>
        </w:rPr>
        <w:t>Labella</w:t>
      </w:r>
      <w:proofErr w:type="spellEnd"/>
      <w:r w:rsidRPr="003C0D04">
        <w:rPr>
          <w:rFonts w:ascii="Arial" w:eastAsia="Times New Roman" w:hAnsi="Arial" w:cs="Arial"/>
          <w:b/>
          <w:bCs/>
          <w:color w:val="000000"/>
          <w:lang w:eastAsia="es-ES"/>
        </w:rPr>
        <w:t xml:space="preserve"> Crespo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485/13),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Rosario Márquez Rodríguez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485/13),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Rafael Gallardo Salvat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485/13),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Manuela Márquez Rodríguez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485/13),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Alberto Galán Luna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487/13),</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b/>
          <w:bCs/>
          <w:color w:val="000000"/>
          <w:lang w:eastAsia="es-ES"/>
        </w:rPr>
        <w:t>Domingo Galán Luna </w:t>
      </w:r>
      <w:r w:rsidRPr="003C0D04">
        <w:rPr>
          <w:rFonts w:ascii="Arial" w:eastAsia="Times New Roman" w:hAnsi="Arial" w:cs="Arial"/>
          <w:color w:val="000000"/>
          <w:lang w:eastAsia="es-ES"/>
        </w:rPr>
        <w:t>(asunto C</w:t>
      </w:r>
      <w:r w:rsidRPr="003C0D04">
        <w:rPr>
          <w:rFonts w:ascii="Arial" w:eastAsia="Times New Roman" w:hAnsi="Arial" w:cs="Arial"/>
          <w:color w:val="000000"/>
          <w:lang w:eastAsia="es-ES"/>
        </w:rPr>
        <w:noBreakHyphen/>
        <w:t>487/13),</w:t>
      </w:r>
    </w:p>
    <w:p w:rsidR="003C0D04" w:rsidRPr="003C0D04" w:rsidRDefault="003C0D04" w:rsidP="003C0D04">
      <w:pPr>
        <w:spacing w:after="240" w:line="240" w:lineRule="auto"/>
        <w:ind w:left="567"/>
        <w:jc w:val="center"/>
        <w:rPr>
          <w:rFonts w:ascii="Arial" w:eastAsia="Times New Roman" w:hAnsi="Arial" w:cs="Arial"/>
          <w:color w:val="000000"/>
          <w:lang w:eastAsia="es-ES"/>
        </w:rPr>
      </w:pPr>
      <w:r w:rsidRPr="003C0D04">
        <w:rPr>
          <w:rFonts w:ascii="Arial" w:eastAsia="Times New Roman" w:hAnsi="Arial" w:cs="Arial"/>
          <w:color w:val="000000"/>
          <w:lang w:eastAsia="es-ES"/>
        </w:rPr>
        <w:lastRenderedPageBreak/>
        <w:t>EL TRIBUNAL DE JUSTICIA (Sala Primera),</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integrado</w:t>
      </w:r>
      <w:proofErr w:type="gramEnd"/>
      <w:r w:rsidRPr="003C0D04">
        <w:rPr>
          <w:rFonts w:ascii="Arial" w:eastAsia="Times New Roman" w:hAnsi="Arial" w:cs="Arial"/>
          <w:color w:val="000000"/>
          <w:lang w:eastAsia="es-ES"/>
        </w:rPr>
        <w:t xml:space="preserve"> por el Sr. A. </w:t>
      </w:r>
      <w:proofErr w:type="spellStart"/>
      <w:r w:rsidRPr="003C0D04">
        <w:rPr>
          <w:rFonts w:ascii="Arial" w:eastAsia="Times New Roman" w:hAnsi="Arial" w:cs="Arial"/>
          <w:color w:val="000000"/>
          <w:lang w:eastAsia="es-ES"/>
        </w:rPr>
        <w:t>Tizzano</w:t>
      </w:r>
      <w:proofErr w:type="spellEnd"/>
      <w:r w:rsidRPr="003C0D04">
        <w:rPr>
          <w:rFonts w:ascii="Arial" w:eastAsia="Times New Roman" w:hAnsi="Arial" w:cs="Arial"/>
          <w:color w:val="000000"/>
          <w:lang w:eastAsia="es-ES"/>
        </w:rPr>
        <w:t>, Presidente de Sala, y los Sres. S. </w:t>
      </w:r>
      <w:proofErr w:type="spellStart"/>
      <w:r w:rsidRPr="003C0D04">
        <w:rPr>
          <w:rFonts w:ascii="Arial" w:eastAsia="Times New Roman" w:hAnsi="Arial" w:cs="Arial"/>
          <w:color w:val="000000"/>
          <w:lang w:eastAsia="es-ES"/>
        </w:rPr>
        <w:t>Rodin</w:t>
      </w:r>
      <w:proofErr w:type="spellEnd"/>
      <w:r w:rsidRPr="003C0D04">
        <w:rPr>
          <w:rFonts w:ascii="Arial" w:eastAsia="Times New Roman" w:hAnsi="Arial" w:cs="Arial"/>
          <w:color w:val="000000"/>
          <w:lang w:eastAsia="es-ES"/>
        </w:rPr>
        <w:t xml:space="preserve"> y E. </w:t>
      </w:r>
      <w:proofErr w:type="spellStart"/>
      <w:r w:rsidRPr="003C0D04">
        <w:rPr>
          <w:rFonts w:ascii="Arial" w:eastAsia="Times New Roman" w:hAnsi="Arial" w:cs="Arial"/>
          <w:color w:val="000000"/>
          <w:lang w:eastAsia="es-ES"/>
        </w:rPr>
        <w:t>Levits</w:t>
      </w:r>
      <w:proofErr w:type="spellEnd"/>
      <w:r w:rsidRPr="003C0D04">
        <w:rPr>
          <w:rFonts w:ascii="Arial" w:eastAsia="Times New Roman" w:hAnsi="Arial" w:cs="Arial"/>
          <w:color w:val="000000"/>
          <w:lang w:eastAsia="es-ES"/>
        </w:rPr>
        <w:t xml:space="preserve"> (Ponente), la Sra. M. Berger y el Sr. F. </w:t>
      </w:r>
      <w:proofErr w:type="spellStart"/>
      <w:r w:rsidRPr="003C0D04">
        <w:rPr>
          <w:rFonts w:ascii="Arial" w:eastAsia="Times New Roman" w:hAnsi="Arial" w:cs="Arial"/>
          <w:color w:val="000000"/>
          <w:lang w:eastAsia="es-ES"/>
        </w:rPr>
        <w:t>Biltgen</w:t>
      </w:r>
      <w:proofErr w:type="spellEnd"/>
      <w:r w:rsidRPr="003C0D04">
        <w:rPr>
          <w:rFonts w:ascii="Arial" w:eastAsia="Times New Roman" w:hAnsi="Arial" w:cs="Arial"/>
          <w:color w:val="000000"/>
          <w:lang w:eastAsia="es-ES"/>
        </w:rPr>
        <w:t xml:space="preserve"> (Jueces),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Abogado General: Sr. N. </w:t>
      </w:r>
      <w:proofErr w:type="spellStart"/>
      <w:r w:rsidRPr="003C0D04">
        <w:rPr>
          <w:rFonts w:ascii="Arial" w:eastAsia="Times New Roman" w:hAnsi="Arial" w:cs="Arial"/>
          <w:color w:val="000000"/>
          <w:lang w:eastAsia="es-ES"/>
        </w:rPr>
        <w:t>Wahl</w:t>
      </w:r>
      <w:proofErr w:type="spellEnd"/>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Secretario: Sra. M. Ferreira, administradora principal;</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habiendo</w:t>
      </w:r>
      <w:proofErr w:type="gramEnd"/>
      <w:r w:rsidRPr="003C0D04">
        <w:rPr>
          <w:rFonts w:ascii="Arial" w:eastAsia="Times New Roman" w:hAnsi="Arial" w:cs="Arial"/>
          <w:color w:val="000000"/>
          <w:lang w:eastAsia="es-ES"/>
        </w:rPr>
        <w:t xml:space="preserve"> considerado los escritos obrantes en autos y celebrada la vista el 10 de septiembre de 2014;</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consideradas</w:t>
      </w:r>
      <w:proofErr w:type="gramEnd"/>
      <w:r w:rsidRPr="003C0D04">
        <w:rPr>
          <w:rFonts w:ascii="Arial" w:eastAsia="Times New Roman" w:hAnsi="Arial" w:cs="Arial"/>
          <w:color w:val="000000"/>
          <w:lang w:eastAsia="es-ES"/>
        </w:rPr>
        <w:t xml:space="preserve"> las observaciones presentadas:</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        en nombre de </w:t>
      </w:r>
      <w:proofErr w:type="spellStart"/>
      <w:r w:rsidRPr="003C0D04">
        <w:rPr>
          <w:rFonts w:ascii="Arial" w:eastAsia="Times New Roman" w:hAnsi="Arial" w:cs="Arial"/>
          <w:color w:val="000000"/>
          <w:lang w:eastAsia="es-ES"/>
        </w:rPr>
        <w:t>Unicaja</w:t>
      </w:r>
      <w:proofErr w:type="spellEnd"/>
      <w:r w:rsidRPr="003C0D04">
        <w:rPr>
          <w:rFonts w:ascii="Arial" w:eastAsia="Times New Roman" w:hAnsi="Arial" w:cs="Arial"/>
          <w:color w:val="000000"/>
          <w:lang w:eastAsia="es-ES"/>
        </w:rPr>
        <w:t xml:space="preserve"> Banco, S.A., por el Sr. J. </w:t>
      </w:r>
      <w:proofErr w:type="spellStart"/>
      <w:r w:rsidRPr="003C0D04">
        <w:rPr>
          <w:rFonts w:ascii="Arial" w:eastAsia="Times New Roman" w:hAnsi="Arial" w:cs="Arial"/>
          <w:color w:val="000000"/>
          <w:lang w:eastAsia="es-ES"/>
        </w:rPr>
        <w:t>Almoguera</w:t>
      </w:r>
      <w:proofErr w:type="spellEnd"/>
      <w:r w:rsidRPr="003C0D04">
        <w:rPr>
          <w:rFonts w:ascii="Arial" w:eastAsia="Times New Roman" w:hAnsi="Arial" w:cs="Arial"/>
          <w:color w:val="000000"/>
          <w:lang w:eastAsia="es-ES"/>
        </w:rPr>
        <w:t xml:space="preserve"> Valencia, abogado;</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        en nombre de </w:t>
      </w:r>
      <w:proofErr w:type="spellStart"/>
      <w:r w:rsidRPr="003C0D04">
        <w:rPr>
          <w:rFonts w:ascii="Arial" w:eastAsia="Times New Roman" w:hAnsi="Arial" w:cs="Arial"/>
          <w:color w:val="000000"/>
          <w:lang w:eastAsia="es-ES"/>
        </w:rPr>
        <w:t>Caixabank</w:t>
      </w:r>
      <w:proofErr w:type="spellEnd"/>
      <w:r w:rsidRPr="003C0D04">
        <w:rPr>
          <w:rFonts w:ascii="Arial" w:eastAsia="Times New Roman" w:hAnsi="Arial" w:cs="Arial"/>
          <w:color w:val="000000"/>
          <w:lang w:eastAsia="es-ES"/>
        </w:rPr>
        <w:t>, S.A., por el Sr. J. Rodríguez Cárcamo y la Sra. B. García Gómez, abogados;</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en nombre del Gobierno español, por el Sr. A. Rubio González y la Sra. S. Centeno Huerta, en calidad de agentes;</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en nombre de la Comisión Europea, por los Sres. J. </w:t>
      </w:r>
      <w:proofErr w:type="spellStart"/>
      <w:r w:rsidRPr="003C0D04">
        <w:rPr>
          <w:rFonts w:ascii="Arial" w:eastAsia="Times New Roman" w:hAnsi="Arial" w:cs="Arial"/>
          <w:color w:val="000000"/>
          <w:lang w:eastAsia="es-ES"/>
        </w:rPr>
        <w:t>Rius</w:t>
      </w:r>
      <w:proofErr w:type="spellEnd"/>
      <w:r w:rsidRPr="003C0D04">
        <w:rPr>
          <w:rFonts w:ascii="Arial" w:eastAsia="Times New Roman" w:hAnsi="Arial" w:cs="Arial"/>
          <w:color w:val="000000"/>
          <w:lang w:eastAsia="es-ES"/>
        </w:rPr>
        <w:t xml:space="preserve">, M. van </w:t>
      </w:r>
      <w:proofErr w:type="spellStart"/>
      <w:r w:rsidRPr="003C0D04">
        <w:rPr>
          <w:rFonts w:ascii="Arial" w:eastAsia="Times New Roman" w:hAnsi="Arial" w:cs="Arial"/>
          <w:color w:val="000000"/>
          <w:lang w:eastAsia="es-ES"/>
        </w:rPr>
        <w:t>Beek</w:t>
      </w:r>
      <w:proofErr w:type="spellEnd"/>
      <w:r w:rsidRPr="003C0D04">
        <w:rPr>
          <w:rFonts w:ascii="Arial" w:eastAsia="Times New Roman" w:hAnsi="Arial" w:cs="Arial"/>
          <w:color w:val="000000"/>
          <w:lang w:eastAsia="es-ES"/>
        </w:rPr>
        <w:t xml:space="preserve"> y G. Valero Jordana, en calidad de agentes;</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oídas</w:t>
      </w:r>
      <w:proofErr w:type="gramEnd"/>
      <w:r w:rsidRPr="003C0D04">
        <w:rPr>
          <w:rFonts w:ascii="Arial" w:eastAsia="Times New Roman" w:hAnsi="Arial" w:cs="Arial"/>
          <w:color w:val="000000"/>
          <w:lang w:eastAsia="es-ES"/>
        </w:rPr>
        <w:t xml:space="preserve"> las conclusiones del Abogado General, presentadas en audiencia pública el 16 de octubre de 2014;</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dicta</w:t>
      </w:r>
      <w:proofErr w:type="gramEnd"/>
      <w:r w:rsidRPr="003C0D04">
        <w:rPr>
          <w:rFonts w:ascii="Arial" w:eastAsia="Times New Roman" w:hAnsi="Arial" w:cs="Arial"/>
          <w:color w:val="000000"/>
          <w:lang w:eastAsia="es-ES"/>
        </w:rPr>
        <w:t xml:space="preserve"> la siguiente</w:t>
      </w:r>
    </w:p>
    <w:p w:rsidR="003C0D04" w:rsidRPr="003C0D04" w:rsidRDefault="003C0D04" w:rsidP="003C0D04">
      <w:pPr>
        <w:spacing w:before="480" w:after="480" w:line="240" w:lineRule="auto"/>
        <w:ind w:left="567"/>
        <w:jc w:val="center"/>
        <w:rPr>
          <w:rFonts w:ascii="Arial" w:eastAsia="Times New Roman" w:hAnsi="Arial" w:cs="Arial"/>
          <w:b/>
          <w:bCs/>
          <w:color w:val="000000"/>
          <w:lang w:eastAsia="es-ES"/>
        </w:rPr>
      </w:pPr>
      <w:r w:rsidRPr="003C0D04">
        <w:rPr>
          <w:rFonts w:ascii="Arial" w:eastAsia="Times New Roman" w:hAnsi="Arial" w:cs="Arial"/>
          <w:b/>
          <w:bCs/>
          <w:color w:val="000000"/>
          <w:lang w:eastAsia="es-ES"/>
        </w:rPr>
        <w:t>Sentencia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 w:name="point1"/>
      <w:r w:rsidRPr="003C0D04">
        <w:rPr>
          <w:rFonts w:ascii="Arial" w:eastAsia="Times New Roman" w:hAnsi="Arial" w:cs="Arial"/>
          <w:color w:val="000000"/>
          <w:lang w:eastAsia="es-ES"/>
        </w:rPr>
        <w:t>1</w:t>
      </w:r>
      <w:bookmarkEnd w:id="1"/>
      <w:r w:rsidRPr="003C0D04">
        <w:rPr>
          <w:rFonts w:ascii="Arial" w:eastAsia="Times New Roman" w:hAnsi="Arial" w:cs="Arial"/>
          <w:color w:val="000000"/>
          <w:lang w:eastAsia="es-ES"/>
        </w:rPr>
        <w:t>        Las peticiones de decisión prejudicial versan sobre la interpretación del artículo 6 de la Directiva 93/13/CEE del Consejo, de 5 de abril de 1993, sobre las cláusulas abusivas en los contratos celebrados con consumidores (DO L 95, p. 29).</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 w:name="point2"/>
      <w:r w:rsidRPr="003C0D04">
        <w:rPr>
          <w:rFonts w:ascii="Arial" w:eastAsia="Times New Roman" w:hAnsi="Arial" w:cs="Arial"/>
          <w:color w:val="000000"/>
          <w:lang w:eastAsia="es-ES"/>
        </w:rPr>
        <w:t>2</w:t>
      </w:r>
      <w:bookmarkEnd w:id="2"/>
      <w:r w:rsidRPr="003C0D04">
        <w:rPr>
          <w:rFonts w:ascii="Arial" w:eastAsia="Times New Roman" w:hAnsi="Arial" w:cs="Arial"/>
          <w:color w:val="000000"/>
          <w:lang w:eastAsia="es-ES"/>
        </w:rPr>
        <w:t xml:space="preserve">        Dichas peticiones se presentaron en el marco del litigio entre </w:t>
      </w:r>
      <w:proofErr w:type="spellStart"/>
      <w:r w:rsidRPr="003C0D04">
        <w:rPr>
          <w:rFonts w:ascii="Arial" w:eastAsia="Times New Roman" w:hAnsi="Arial" w:cs="Arial"/>
          <w:color w:val="000000"/>
          <w:lang w:eastAsia="es-ES"/>
        </w:rPr>
        <w:t>Unicaja</w:t>
      </w:r>
      <w:proofErr w:type="spellEnd"/>
      <w:r w:rsidRPr="003C0D04">
        <w:rPr>
          <w:rFonts w:ascii="Arial" w:eastAsia="Times New Roman" w:hAnsi="Arial" w:cs="Arial"/>
          <w:color w:val="000000"/>
          <w:lang w:eastAsia="es-ES"/>
        </w:rPr>
        <w:t xml:space="preserve"> Banco, S.A. (en lo sucesivo, «</w:t>
      </w:r>
      <w:proofErr w:type="spellStart"/>
      <w:r w:rsidRPr="003C0D04">
        <w:rPr>
          <w:rFonts w:ascii="Arial" w:eastAsia="Times New Roman" w:hAnsi="Arial" w:cs="Arial"/>
          <w:color w:val="000000"/>
          <w:lang w:eastAsia="es-ES"/>
        </w:rPr>
        <w:t>Unicaja</w:t>
      </w:r>
      <w:proofErr w:type="spellEnd"/>
      <w:r w:rsidRPr="003C0D04">
        <w:rPr>
          <w:rFonts w:ascii="Arial" w:eastAsia="Times New Roman" w:hAnsi="Arial" w:cs="Arial"/>
          <w:color w:val="000000"/>
          <w:lang w:eastAsia="es-ES"/>
        </w:rPr>
        <w:t xml:space="preserve"> Banco»), por una parte, y el Sr. Hidalgo Rueda, la Sra. Vega Martín, Gestión Patrimonial </w:t>
      </w:r>
      <w:proofErr w:type="spellStart"/>
      <w:r w:rsidRPr="003C0D04">
        <w:rPr>
          <w:rFonts w:ascii="Arial" w:eastAsia="Times New Roman" w:hAnsi="Arial" w:cs="Arial"/>
          <w:color w:val="000000"/>
          <w:lang w:eastAsia="es-ES"/>
        </w:rPr>
        <w:t>Hive</w:t>
      </w:r>
      <w:proofErr w:type="spellEnd"/>
      <w:r w:rsidRPr="003C0D04">
        <w:rPr>
          <w:rFonts w:ascii="Arial" w:eastAsia="Times New Roman" w:hAnsi="Arial" w:cs="Arial"/>
          <w:color w:val="000000"/>
          <w:lang w:eastAsia="es-ES"/>
        </w:rPr>
        <w:t xml:space="preserve">, S.L., el Sr. López Reina y la Sra. Hidalgo Vega, por otra parte, y de los litigios entre </w:t>
      </w:r>
      <w:proofErr w:type="spellStart"/>
      <w:r w:rsidRPr="003C0D04">
        <w:rPr>
          <w:rFonts w:ascii="Arial" w:eastAsia="Times New Roman" w:hAnsi="Arial" w:cs="Arial"/>
          <w:color w:val="000000"/>
          <w:lang w:eastAsia="es-ES"/>
        </w:rPr>
        <w:t>Caixabank</w:t>
      </w:r>
      <w:proofErr w:type="spellEnd"/>
      <w:r w:rsidRPr="003C0D04">
        <w:rPr>
          <w:rFonts w:ascii="Arial" w:eastAsia="Times New Roman" w:hAnsi="Arial" w:cs="Arial"/>
          <w:color w:val="000000"/>
          <w:lang w:eastAsia="es-ES"/>
        </w:rPr>
        <w:t>, S.A. (en lo sucesivo, «</w:t>
      </w:r>
      <w:proofErr w:type="spellStart"/>
      <w:r w:rsidRPr="003C0D04">
        <w:rPr>
          <w:rFonts w:ascii="Arial" w:eastAsia="Times New Roman" w:hAnsi="Arial" w:cs="Arial"/>
          <w:color w:val="000000"/>
          <w:lang w:eastAsia="es-ES"/>
        </w:rPr>
        <w:t>Caixabank</w:t>
      </w:r>
      <w:proofErr w:type="spellEnd"/>
      <w:r w:rsidRPr="003C0D04">
        <w:rPr>
          <w:rFonts w:ascii="Arial" w:eastAsia="Times New Roman" w:hAnsi="Arial" w:cs="Arial"/>
          <w:color w:val="000000"/>
          <w:lang w:eastAsia="es-ES"/>
        </w:rPr>
        <w:t>») y, en primer término, el Sr. Rueda Ledesma y la Sra. Mesa Mesa, en segundo término, el Sr. </w:t>
      </w:r>
      <w:proofErr w:type="spellStart"/>
      <w:r w:rsidRPr="003C0D04">
        <w:rPr>
          <w:rFonts w:ascii="Arial" w:eastAsia="Times New Roman" w:hAnsi="Arial" w:cs="Arial"/>
          <w:color w:val="000000"/>
          <w:lang w:eastAsia="es-ES"/>
        </w:rPr>
        <w:t>Labella</w:t>
      </w:r>
      <w:proofErr w:type="spellEnd"/>
      <w:r w:rsidRPr="003C0D04">
        <w:rPr>
          <w:rFonts w:ascii="Arial" w:eastAsia="Times New Roman" w:hAnsi="Arial" w:cs="Arial"/>
          <w:color w:val="000000"/>
          <w:lang w:eastAsia="es-ES"/>
        </w:rPr>
        <w:t xml:space="preserve"> Crespo, la Sra. Márquez Rodríguez, el Sr. Gallardo Salvat y la Sra. Márquez Rodríguez, y, en tercer término, los Sres. Galán Luna y Galán Luna, litigios todos ellos relativos al cobro de las deudas no pagadas derivadas de los contratos de préstamo hipotecario celebrados entre las mencionadas partes de los litigios principales.</w:t>
      </w:r>
    </w:p>
    <w:p w:rsidR="003C0D04" w:rsidRPr="003C0D04" w:rsidRDefault="003C0D04" w:rsidP="003C0D04">
      <w:pPr>
        <w:spacing w:before="480" w:after="240" w:line="240" w:lineRule="auto"/>
        <w:ind w:left="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Marco jurídico</w:t>
      </w:r>
    </w:p>
    <w:p w:rsidR="003C0D04" w:rsidRPr="003C0D04" w:rsidRDefault="003C0D04" w:rsidP="003C0D04">
      <w:pPr>
        <w:spacing w:after="240" w:line="240" w:lineRule="auto"/>
        <w:ind w:left="567"/>
        <w:jc w:val="both"/>
        <w:rPr>
          <w:rFonts w:ascii="Arial" w:eastAsia="Times New Roman" w:hAnsi="Arial" w:cs="Arial"/>
          <w:i/>
          <w:iCs/>
          <w:color w:val="000000"/>
          <w:lang w:eastAsia="es-ES"/>
        </w:rPr>
      </w:pPr>
      <w:r w:rsidRPr="003C0D04">
        <w:rPr>
          <w:rFonts w:ascii="Arial" w:eastAsia="Times New Roman" w:hAnsi="Arial" w:cs="Arial"/>
          <w:i/>
          <w:iCs/>
          <w:color w:val="000000"/>
          <w:lang w:eastAsia="es-ES"/>
        </w:rPr>
        <w:t> Directiva 93/13</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 w:name="point3"/>
      <w:r w:rsidRPr="003C0D04">
        <w:rPr>
          <w:rFonts w:ascii="Arial" w:eastAsia="Times New Roman" w:hAnsi="Arial" w:cs="Arial"/>
          <w:color w:val="000000"/>
          <w:lang w:eastAsia="es-ES"/>
        </w:rPr>
        <w:lastRenderedPageBreak/>
        <w:t>3</w:t>
      </w:r>
      <w:bookmarkEnd w:id="3"/>
      <w:r w:rsidRPr="003C0D04">
        <w:rPr>
          <w:rFonts w:ascii="Arial" w:eastAsia="Times New Roman" w:hAnsi="Arial" w:cs="Arial"/>
          <w:color w:val="000000"/>
          <w:lang w:eastAsia="es-ES"/>
        </w:rPr>
        <w:t>        El artículo 1, apartado 2, de la Directiva 93/13 establece que:</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«Las cláusulas contractuales que reflejen disposiciones legales o reglamentarias imperativas, así como las disposiciones o los principios de los convenios internacionales, en especial en el ámbito de los transportes, donde los Estados miembros o la Comunidad son parte, no estarán sometidos a las disposiciones de la presente Directiva.»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4" w:name="point4"/>
      <w:r w:rsidRPr="003C0D04">
        <w:rPr>
          <w:rFonts w:ascii="Arial" w:eastAsia="Times New Roman" w:hAnsi="Arial" w:cs="Arial"/>
          <w:color w:val="000000"/>
          <w:lang w:eastAsia="es-ES"/>
        </w:rPr>
        <w:t>4</w:t>
      </w:r>
      <w:bookmarkEnd w:id="4"/>
      <w:r w:rsidRPr="003C0D04">
        <w:rPr>
          <w:rFonts w:ascii="Arial" w:eastAsia="Times New Roman" w:hAnsi="Arial" w:cs="Arial"/>
          <w:color w:val="000000"/>
          <w:lang w:eastAsia="es-ES"/>
        </w:rPr>
        <w:t>        El artículo 3, apartado 1, de la misma Directiva tiene la siguiente redacción:</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«Las cláusulas contractuales que no se hayan negociado individualmente se considerarán abusivas si, pese a las exigencias de la buena fe, causan en detrimento del consumidor un desequilibrio importante entre los derechos y obligaciones de las partes que se derivan del contrato.»</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5" w:name="point5"/>
      <w:r w:rsidRPr="003C0D04">
        <w:rPr>
          <w:rFonts w:ascii="Arial" w:eastAsia="Times New Roman" w:hAnsi="Arial" w:cs="Arial"/>
          <w:color w:val="000000"/>
          <w:lang w:eastAsia="es-ES"/>
        </w:rPr>
        <w:t>5</w:t>
      </w:r>
      <w:bookmarkEnd w:id="5"/>
      <w:r w:rsidRPr="003C0D04">
        <w:rPr>
          <w:rFonts w:ascii="Arial" w:eastAsia="Times New Roman" w:hAnsi="Arial" w:cs="Arial"/>
          <w:color w:val="000000"/>
          <w:lang w:eastAsia="es-ES"/>
        </w:rPr>
        <w:t>        El artículo 4, apartado 1, de dicha Directiva precisa:</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 el carácter abusivo de una cláusula contractual se apreciará teniendo en cuenta la naturaleza de los bienes o servicios que sean objeto del contrato y considerando, en el momento de la celebración del mismo, todas las circunstancias que concurran en su celebración, así como todas las demás cláusulas del contrato, o de otro contrato del que dependa.»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6" w:name="point6"/>
      <w:r w:rsidRPr="003C0D04">
        <w:rPr>
          <w:rFonts w:ascii="Arial" w:eastAsia="Times New Roman" w:hAnsi="Arial" w:cs="Arial"/>
          <w:color w:val="000000"/>
          <w:lang w:eastAsia="es-ES"/>
        </w:rPr>
        <w:t>6</w:t>
      </w:r>
      <w:bookmarkEnd w:id="6"/>
      <w:r w:rsidRPr="003C0D04">
        <w:rPr>
          <w:rFonts w:ascii="Arial" w:eastAsia="Times New Roman" w:hAnsi="Arial" w:cs="Arial"/>
          <w:color w:val="000000"/>
          <w:lang w:eastAsia="es-ES"/>
        </w:rPr>
        <w:t>        El artículo 6, apartado 1, de la Directiva 93/13 dispone:</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«Los Estados miembros establecerán que no vincularán al consumidor, en las condiciones estipuladas por sus derechos nacionales, las cláusulas abusivas que figuren en un contrato celebrado entre éste y un profesional y dispondrán que el contrato siga siendo obligatorio para las partes en los mismos términos, si éste puede subsistir sin las cláusulas abusivas.»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7" w:name="point7"/>
      <w:r w:rsidRPr="003C0D04">
        <w:rPr>
          <w:rFonts w:ascii="Arial" w:eastAsia="Times New Roman" w:hAnsi="Arial" w:cs="Arial"/>
          <w:color w:val="000000"/>
          <w:lang w:eastAsia="es-ES"/>
        </w:rPr>
        <w:t>7</w:t>
      </w:r>
      <w:bookmarkEnd w:id="7"/>
      <w:r w:rsidRPr="003C0D04">
        <w:rPr>
          <w:rFonts w:ascii="Arial" w:eastAsia="Times New Roman" w:hAnsi="Arial" w:cs="Arial"/>
          <w:color w:val="000000"/>
          <w:lang w:eastAsia="es-ES"/>
        </w:rPr>
        <w:t>        En virtud del artículo 7, apartado 1, de dicha Directiva:</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«Los Estados miembros velarán por que, en interés de los consumidores y de los competidores profesionales, existan medios adecuados y eficaces para que cese el uso de cláusulas abusivas en los contratos celebrados entre profesionales y consumidores.»</w:t>
      </w:r>
    </w:p>
    <w:p w:rsidR="003C0D04" w:rsidRPr="003C0D04" w:rsidRDefault="003C0D04" w:rsidP="003C0D04">
      <w:pPr>
        <w:spacing w:after="240" w:line="240" w:lineRule="auto"/>
        <w:ind w:left="567"/>
        <w:jc w:val="both"/>
        <w:rPr>
          <w:rFonts w:ascii="Arial" w:eastAsia="Times New Roman" w:hAnsi="Arial" w:cs="Arial"/>
          <w:i/>
          <w:iCs/>
          <w:color w:val="000000"/>
          <w:lang w:eastAsia="es-ES"/>
        </w:rPr>
      </w:pPr>
      <w:r w:rsidRPr="003C0D04">
        <w:rPr>
          <w:rFonts w:ascii="Arial" w:eastAsia="Times New Roman" w:hAnsi="Arial" w:cs="Arial"/>
          <w:i/>
          <w:iCs/>
          <w:color w:val="000000"/>
          <w:lang w:eastAsia="es-ES"/>
        </w:rPr>
        <w:t> Derecho español</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8" w:name="point8"/>
      <w:r w:rsidRPr="003C0D04">
        <w:rPr>
          <w:rFonts w:ascii="Arial" w:eastAsia="Times New Roman" w:hAnsi="Arial" w:cs="Arial"/>
          <w:color w:val="000000"/>
          <w:lang w:eastAsia="es-ES"/>
        </w:rPr>
        <w:t>8</w:t>
      </w:r>
      <w:bookmarkEnd w:id="8"/>
      <w:r w:rsidRPr="003C0D04">
        <w:rPr>
          <w:rFonts w:ascii="Arial" w:eastAsia="Times New Roman" w:hAnsi="Arial" w:cs="Arial"/>
          <w:color w:val="000000"/>
          <w:lang w:eastAsia="es-ES"/>
        </w:rPr>
        <w:t>        En Derecho español, la protección de los consumidores frente a las cláusulas abusivas estaba garantizada inicialmente por la Ley 26/1984, de 19 de julio, General para la Defensa de los Consumidores y Usuarios (BOE nº 176, de 24 de julio de 1984, p. 21686).</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9" w:name="point9"/>
      <w:r w:rsidRPr="003C0D04">
        <w:rPr>
          <w:rFonts w:ascii="Arial" w:eastAsia="Times New Roman" w:hAnsi="Arial" w:cs="Arial"/>
          <w:color w:val="000000"/>
          <w:lang w:eastAsia="es-ES"/>
        </w:rPr>
        <w:t>9</w:t>
      </w:r>
      <w:bookmarkEnd w:id="9"/>
      <w:r w:rsidRPr="003C0D04">
        <w:rPr>
          <w:rFonts w:ascii="Arial" w:eastAsia="Times New Roman" w:hAnsi="Arial" w:cs="Arial"/>
          <w:color w:val="000000"/>
          <w:lang w:eastAsia="es-ES"/>
        </w:rPr>
        <w:t>        La Ley 26/1984 fue modificada posteriormente mediante la Ley 7/1998, de 13 de abril, sobre condiciones generales de la contratación (BOE nº 89, de 14 de abril de 1998, p. 12304), que adaptó el Derecho interno a la Directiva 93/13.</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0" w:name="point10"/>
      <w:r w:rsidRPr="003C0D04">
        <w:rPr>
          <w:rFonts w:ascii="Arial" w:eastAsia="Times New Roman" w:hAnsi="Arial" w:cs="Arial"/>
          <w:color w:val="000000"/>
          <w:lang w:eastAsia="es-ES"/>
        </w:rPr>
        <w:t>10</w:t>
      </w:r>
      <w:bookmarkEnd w:id="10"/>
      <w:r w:rsidRPr="003C0D04">
        <w:rPr>
          <w:rFonts w:ascii="Arial" w:eastAsia="Times New Roman" w:hAnsi="Arial" w:cs="Arial"/>
          <w:color w:val="000000"/>
          <w:lang w:eastAsia="es-ES"/>
        </w:rPr>
        <w:t>      Estas disposiciones fueron retomadas por el Real Decreto Legislativo 1/2007, de 16 de noviembre, por el que se aprueba el texto refundido de la Ley General para la Defensa de los Consumidores y Usuarios y otras leyes complementarias (BOE nº 287, de 30 de noviembre de 2007, p. 49181).</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1" w:name="point11"/>
      <w:r w:rsidRPr="003C0D04">
        <w:rPr>
          <w:rFonts w:ascii="Arial" w:eastAsia="Times New Roman" w:hAnsi="Arial" w:cs="Arial"/>
          <w:color w:val="000000"/>
          <w:lang w:eastAsia="es-ES"/>
        </w:rPr>
        <w:lastRenderedPageBreak/>
        <w:t>11</w:t>
      </w:r>
      <w:bookmarkEnd w:id="11"/>
      <w:r w:rsidRPr="003C0D04">
        <w:rPr>
          <w:rFonts w:ascii="Arial" w:eastAsia="Times New Roman" w:hAnsi="Arial" w:cs="Arial"/>
          <w:color w:val="000000"/>
          <w:lang w:eastAsia="es-ES"/>
        </w:rPr>
        <w:t>      Con arreglo al artículo 83 del texto refundido de la Ley General para la Defensa de los Consumidores y Usuarios: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«1.      Las cláusulas abusivas serán nulas de pleno derecho y se tendrán por no puestas.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2.      La parte del contrato afectada por la nulidad se integrará con arreglo a lo dispuesto por el artículo 1.258 del Código Civil y al principio de buena fe objetiva.</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A estos efectos, el Juez que declare la nulidad de dichas cláusulas integrará el contrato y dispondrá de facultades moderadoras respecto de los derechos y obligaciones de las partes, cuando subsista el contrato, y de las consecuencias de su ineficacia en caso de perjuicio apreciable para el consumidor y usuario.</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Sólo cuando las cláusulas subsistentes determinen una situación no equitativa en la posición de las partes que no pueda ser subsanada podrá el Juez declarar la ineficacia del contrato.»</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2" w:name="point12"/>
      <w:r w:rsidRPr="003C0D04">
        <w:rPr>
          <w:rFonts w:ascii="Arial" w:eastAsia="Times New Roman" w:hAnsi="Arial" w:cs="Arial"/>
          <w:color w:val="000000"/>
          <w:lang w:eastAsia="es-ES"/>
        </w:rPr>
        <w:t>12</w:t>
      </w:r>
      <w:bookmarkEnd w:id="12"/>
      <w:r w:rsidRPr="003C0D04">
        <w:rPr>
          <w:rFonts w:ascii="Arial" w:eastAsia="Times New Roman" w:hAnsi="Arial" w:cs="Arial"/>
          <w:color w:val="000000"/>
          <w:lang w:eastAsia="es-ES"/>
        </w:rPr>
        <w:t xml:space="preserve">      A raíz de la sentencia del Tribunal de Justicia de 14 de marzo de 2013, </w:t>
      </w:r>
      <w:proofErr w:type="spellStart"/>
      <w:r w:rsidRPr="003C0D04">
        <w:rPr>
          <w:rFonts w:ascii="Arial" w:eastAsia="Times New Roman" w:hAnsi="Arial" w:cs="Arial"/>
          <w:color w:val="000000"/>
          <w:lang w:eastAsia="es-ES"/>
        </w:rPr>
        <w:t>Aziz</w:t>
      </w:r>
      <w:proofErr w:type="spellEnd"/>
      <w:r w:rsidRPr="003C0D04">
        <w:rPr>
          <w:rFonts w:ascii="Arial" w:eastAsia="Times New Roman" w:hAnsi="Arial" w:cs="Arial"/>
          <w:color w:val="000000"/>
          <w:lang w:eastAsia="es-ES"/>
        </w:rPr>
        <w:t xml:space="preserve"> (C</w:t>
      </w:r>
      <w:r w:rsidRPr="003C0D04">
        <w:rPr>
          <w:rFonts w:ascii="Arial" w:eastAsia="Times New Roman" w:hAnsi="Arial" w:cs="Arial"/>
          <w:color w:val="000000"/>
          <w:lang w:eastAsia="es-ES"/>
        </w:rPr>
        <w:noBreakHyphen/>
        <w:t>415/11, EU</w:t>
      </w:r>
      <w:proofErr w:type="gramStart"/>
      <w:r w:rsidRPr="003C0D04">
        <w:rPr>
          <w:rFonts w:ascii="Arial" w:eastAsia="Times New Roman" w:hAnsi="Arial" w:cs="Arial"/>
          <w:color w:val="000000"/>
          <w:lang w:eastAsia="es-ES"/>
        </w:rPr>
        <w:t>:C:2013:164</w:t>
      </w:r>
      <w:proofErr w:type="gramEnd"/>
      <w:r w:rsidRPr="003C0D04">
        <w:rPr>
          <w:rFonts w:ascii="Arial" w:eastAsia="Times New Roman" w:hAnsi="Arial" w:cs="Arial"/>
          <w:color w:val="000000"/>
          <w:lang w:eastAsia="es-ES"/>
        </w:rPr>
        <w:t>), la legislación española en materia de protección de los consumidores fue modificada por la Ley 1/2013, de 14 de mayo, de medidas para reforzar la protección a los deudores hipotecarios, reestructuración de deuda y alquiler social (BOE nº 116 de 15 de mayo de 2013, p. 36373). Esta Ley modificó en particular determinadas disposiciones de la Ley 1/2000, de 7 de enero, de Enjuiciamiento Civil (BOE nº 7 de 8 de enero de 2000, p. 575).</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3" w:name="point13"/>
      <w:r w:rsidRPr="003C0D04">
        <w:rPr>
          <w:rFonts w:ascii="Arial" w:eastAsia="Times New Roman" w:hAnsi="Arial" w:cs="Arial"/>
          <w:color w:val="000000"/>
          <w:lang w:eastAsia="es-ES"/>
        </w:rPr>
        <w:t>13</w:t>
      </w:r>
      <w:bookmarkEnd w:id="13"/>
      <w:r w:rsidRPr="003C0D04">
        <w:rPr>
          <w:rFonts w:ascii="Arial" w:eastAsia="Times New Roman" w:hAnsi="Arial" w:cs="Arial"/>
          <w:color w:val="000000"/>
          <w:lang w:eastAsia="es-ES"/>
        </w:rPr>
        <w:t>      De este modo, el artículo 552, apartado 1, de la Ley de Enjuiciamiento Civil, en su versión resultante de la modificación introducida por el artículo 7, punto 1, de la Ley 1/2013, dispone lo siguiente:</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«Cuando el tribunal apreciare que alguna de las cláusulas incluidas en un título ejecutivo de los citados en el artículo 557.1 pueda ser calificada como abusiva, dará audiencia por cinco días a las partes. Oídas éstas, acordará lo procedente en el plazo de los cinco días siguientes, conforme a lo previsto en el artículo 561.1.3ª.»</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4" w:name="point14"/>
      <w:r w:rsidRPr="003C0D04">
        <w:rPr>
          <w:rFonts w:ascii="Arial" w:eastAsia="Times New Roman" w:hAnsi="Arial" w:cs="Arial"/>
          <w:color w:val="000000"/>
          <w:lang w:eastAsia="es-ES"/>
        </w:rPr>
        <w:t>14</w:t>
      </w:r>
      <w:bookmarkEnd w:id="14"/>
      <w:r w:rsidRPr="003C0D04">
        <w:rPr>
          <w:rFonts w:ascii="Arial" w:eastAsia="Times New Roman" w:hAnsi="Arial" w:cs="Arial"/>
          <w:color w:val="000000"/>
          <w:lang w:eastAsia="es-ES"/>
        </w:rPr>
        <w:t>      El artículo 7, apartado 3, de la Ley 1/2013 añadió un punto 3.</w:t>
      </w:r>
      <w:r w:rsidRPr="003C0D04">
        <w:rPr>
          <w:rFonts w:ascii="Arial" w:eastAsia="Times New Roman" w:hAnsi="Arial" w:cs="Arial"/>
          <w:color w:val="000000"/>
          <w:vertAlign w:val="superscript"/>
          <w:lang w:eastAsia="es-ES"/>
        </w:rPr>
        <w:t>a</w:t>
      </w:r>
      <w:r w:rsidRPr="003C0D04">
        <w:rPr>
          <w:rFonts w:ascii="Arial" w:eastAsia="Times New Roman" w:hAnsi="Arial" w:cs="Arial"/>
          <w:color w:val="000000"/>
          <w:lang w:eastAsia="es-ES"/>
        </w:rPr>
        <w:t> al artículo 561, apartado 1, de la Ley de Enjuiciamiento Civil con la siguiente redacción:</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«Cuando se apreciase el carácter abusivo de una o varias cláusulas, el auto que se dicte determinará las consecuencias de tal carácter, decretando bien la improcedencia de la ejecución, bien despachando la misma sin aplicación de aquéllas consideradas abusivas.»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5" w:name="point15"/>
      <w:r w:rsidRPr="003C0D04">
        <w:rPr>
          <w:rFonts w:ascii="Arial" w:eastAsia="Times New Roman" w:hAnsi="Arial" w:cs="Arial"/>
          <w:color w:val="000000"/>
          <w:lang w:eastAsia="es-ES"/>
        </w:rPr>
        <w:t>15</w:t>
      </w:r>
      <w:bookmarkEnd w:id="15"/>
      <w:r w:rsidRPr="003C0D04">
        <w:rPr>
          <w:rFonts w:ascii="Arial" w:eastAsia="Times New Roman" w:hAnsi="Arial" w:cs="Arial"/>
          <w:color w:val="000000"/>
          <w:lang w:eastAsia="es-ES"/>
        </w:rPr>
        <w:t>      El artículo 7, apartado 14, de la Ley 1/2013 modifica el artículo 695 de la Ley de Enjuiciamiento Civil precisando que la existencia de cláusulas abusivas constituye un motivo de oposición en los siguientes términos: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«1.      En los procedimientos a que se refiere este Capítulo sólo se admitirá la oposición del ejecutado cuando se funde en las siguientes causas: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w:t>
      </w:r>
    </w:p>
    <w:p w:rsidR="003C0D04" w:rsidRPr="003C0D04" w:rsidRDefault="003C0D04" w:rsidP="003C0D04">
      <w:pPr>
        <w:spacing w:after="240" w:line="240" w:lineRule="auto"/>
        <w:ind w:left="567"/>
        <w:jc w:val="both"/>
        <w:rPr>
          <w:rFonts w:ascii="Arial" w:eastAsia="Times New Roman" w:hAnsi="Arial" w:cs="Arial"/>
          <w:color w:val="000000"/>
          <w:lang w:eastAsia="es-ES"/>
        </w:rPr>
      </w:pPr>
      <w:proofErr w:type="gramStart"/>
      <w:r w:rsidRPr="003C0D04">
        <w:rPr>
          <w:rFonts w:ascii="Arial" w:eastAsia="Times New Roman" w:hAnsi="Arial" w:cs="Arial"/>
          <w:color w:val="000000"/>
          <w:lang w:eastAsia="es-ES"/>
        </w:rPr>
        <w:t>4.</w:t>
      </w:r>
      <w:r w:rsidRPr="003C0D04">
        <w:rPr>
          <w:rFonts w:ascii="Arial" w:eastAsia="Times New Roman" w:hAnsi="Arial" w:cs="Arial"/>
          <w:color w:val="000000"/>
          <w:vertAlign w:val="superscript"/>
          <w:lang w:eastAsia="es-ES"/>
        </w:rPr>
        <w:t>a</w:t>
      </w:r>
      <w:proofErr w:type="gramEnd"/>
      <w:r w:rsidRPr="003C0D04">
        <w:rPr>
          <w:rFonts w:ascii="Arial" w:eastAsia="Times New Roman" w:hAnsi="Arial" w:cs="Arial"/>
          <w:color w:val="000000"/>
          <w:lang w:eastAsia="es-ES"/>
        </w:rPr>
        <w:t>      El carácter abusivo de una cláusula contractual que constituya el fundamento de la ejecución o que hubiese determinado la cantidad exigible.»</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6" w:name="point16"/>
      <w:r w:rsidRPr="003C0D04">
        <w:rPr>
          <w:rFonts w:ascii="Arial" w:eastAsia="Times New Roman" w:hAnsi="Arial" w:cs="Arial"/>
          <w:color w:val="000000"/>
          <w:lang w:eastAsia="es-ES"/>
        </w:rPr>
        <w:lastRenderedPageBreak/>
        <w:t>16</w:t>
      </w:r>
      <w:bookmarkEnd w:id="16"/>
      <w:r w:rsidRPr="003C0D04">
        <w:rPr>
          <w:rFonts w:ascii="Arial" w:eastAsia="Times New Roman" w:hAnsi="Arial" w:cs="Arial"/>
          <w:color w:val="000000"/>
          <w:lang w:eastAsia="es-ES"/>
        </w:rPr>
        <w:t>      El artículo 3, apartado 2, de la Ley 1/2013 modificó el artículo 114 de la Ley Hipotecaria añadiendo al mismo un tercer párrafo con la siguiente redacción:</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«Los intereses de demora de préstamos o créditos para la adquisición de vivienda habitual, garantizados con hipotecas constituidas sobre la misma vivienda, no podrán ser superiores a tres veces el interés legal del dinero y sólo podrán devengarse sobre el principal pendiente de pago. Dichos intereses de demora no podrán ser capitalizados en ningún caso, salvo en el supuesto previsto en el artículo 579.2.a) de la Ley de Enjuiciamiento Civil.»</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7" w:name="point17"/>
      <w:r w:rsidRPr="003C0D04">
        <w:rPr>
          <w:rFonts w:ascii="Arial" w:eastAsia="Times New Roman" w:hAnsi="Arial" w:cs="Arial"/>
          <w:color w:val="000000"/>
          <w:lang w:eastAsia="es-ES"/>
        </w:rPr>
        <w:t>17</w:t>
      </w:r>
      <w:bookmarkEnd w:id="17"/>
      <w:r w:rsidRPr="003C0D04">
        <w:rPr>
          <w:rFonts w:ascii="Arial" w:eastAsia="Times New Roman" w:hAnsi="Arial" w:cs="Arial"/>
          <w:color w:val="000000"/>
          <w:lang w:eastAsia="es-ES"/>
        </w:rPr>
        <w:t>      Por último, la disposición transitoria segunda de la Ley 1/2013 añade lo siguiente:</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«La limitación de los intereses de demora de hipotecas constituidas sobre vivienda habitual prevista en el artículo 3, apartado dos, será de aplicación a las hipotecas constituidas con posterioridad a la entrada en vigor de esta Ley.</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Asimismo, dicha limitación será de aplicación a los intereses de demora previstos en los préstamos con garantía de hipoteca sobre vivienda habitual, constituidos antes de la entrada en vigor de la Ley, que se devenguen con posterioridad a la misma, así como a los que habiéndose devengado en dicha fecha no hubieran sido satisfechos.</w:t>
      </w:r>
    </w:p>
    <w:p w:rsidR="003C0D04" w:rsidRPr="003C0D04" w:rsidRDefault="003C0D04" w:rsidP="003C0D04">
      <w:pPr>
        <w:spacing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En los procedimientos de ejecución o venta extrajudicial iniciados y no concluidos a la entrada en vigor de esta Ley, y en los que se haya fijado ya la cantidad por la que se solicita que se despache ejecución o la venta extrajudicial, el Secretario judicial o el Notario dará al ejecutante un plazo de 10 días para que </w:t>
      </w:r>
      <w:proofErr w:type="spellStart"/>
      <w:r w:rsidRPr="003C0D04">
        <w:rPr>
          <w:rFonts w:ascii="Arial" w:eastAsia="Times New Roman" w:hAnsi="Arial" w:cs="Arial"/>
          <w:color w:val="000000"/>
          <w:lang w:eastAsia="es-ES"/>
        </w:rPr>
        <w:t>recalcule</w:t>
      </w:r>
      <w:proofErr w:type="spellEnd"/>
      <w:r w:rsidRPr="003C0D04">
        <w:rPr>
          <w:rFonts w:ascii="Arial" w:eastAsia="Times New Roman" w:hAnsi="Arial" w:cs="Arial"/>
          <w:color w:val="000000"/>
          <w:lang w:eastAsia="es-ES"/>
        </w:rPr>
        <w:t xml:space="preserve"> aquella cantidad conforme a lo dispuesto en el apartado anterior.»</w:t>
      </w:r>
    </w:p>
    <w:p w:rsidR="003C0D04" w:rsidRPr="003C0D04" w:rsidRDefault="003C0D04" w:rsidP="003C0D04">
      <w:pPr>
        <w:spacing w:before="480" w:after="240" w:line="240" w:lineRule="auto"/>
        <w:ind w:left="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Litigios principales y cuestiones prejudiciales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8" w:name="point18"/>
      <w:r w:rsidRPr="003C0D04">
        <w:rPr>
          <w:rFonts w:ascii="Arial" w:eastAsia="Times New Roman" w:hAnsi="Arial" w:cs="Arial"/>
          <w:color w:val="000000"/>
          <w:lang w:eastAsia="es-ES"/>
        </w:rPr>
        <w:t>18</w:t>
      </w:r>
      <w:bookmarkEnd w:id="18"/>
      <w:r w:rsidRPr="003C0D04">
        <w:rPr>
          <w:rFonts w:ascii="Arial" w:eastAsia="Times New Roman" w:hAnsi="Arial" w:cs="Arial"/>
          <w:color w:val="000000"/>
          <w:lang w:eastAsia="es-ES"/>
        </w:rPr>
        <w:t xml:space="preserve">      Los litigios principales se refieren a diferentes procedimientos de ejecución hipotecaria iniciados por </w:t>
      </w:r>
      <w:proofErr w:type="spellStart"/>
      <w:r w:rsidRPr="003C0D04">
        <w:rPr>
          <w:rFonts w:ascii="Arial" w:eastAsia="Times New Roman" w:hAnsi="Arial" w:cs="Arial"/>
          <w:color w:val="000000"/>
          <w:lang w:eastAsia="es-ES"/>
        </w:rPr>
        <w:t>Unicaja</w:t>
      </w:r>
      <w:proofErr w:type="spellEnd"/>
      <w:r w:rsidRPr="003C0D04">
        <w:rPr>
          <w:rFonts w:ascii="Arial" w:eastAsia="Times New Roman" w:hAnsi="Arial" w:cs="Arial"/>
          <w:color w:val="000000"/>
          <w:lang w:eastAsia="es-ES"/>
        </w:rPr>
        <w:t xml:space="preserve"> Banco y </w:t>
      </w:r>
      <w:proofErr w:type="spellStart"/>
      <w:r w:rsidRPr="003C0D04">
        <w:rPr>
          <w:rFonts w:ascii="Arial" w:eastAsia="Times New Roman" w:hAnsi="Arial" w:cs="Arial"/>
          <w:color w:val="000000"/>
          <w:lang w:eastAsia="es-ES"/>
        </w:rPr>
        <w:t>Caixabank</w:t>
      </w:r>
      <w:proofErr w:type="spellEnd"/>
      <w:r w:rsidRPr="003C0D04">
        <w:rPr>
          <w:rFonts w:ascii="Arial" w:eastAsia="Times New Roman" w:hAnsi="Arial" w:cs="Arial"/>
          <w:color w:val="000000"/>
          <w:lang w:eastAsia="es-ES"/>
        </w:rPr>
        <w:t xml:space="preserve"> con el objeto de obtener la ejecución forzosa de varias hipotecas constituidas entre el 5 de enero de 2007 y el 20 de agosto de 2010 para garantizar importes comprendidos entre 47 000 euros y 249 000 euros.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19" w:name="point19"/>
      <w:r w:rsidRPr="003C0D04">
        <w:rPr>
          <w:rFonts w:ascii="Arial" w:eastAsia="Times New Roman" w:hAnsi="Arial" w:cs="Arial"/>
          <w:color w:val="000000"/>
          <w:lang w:eastAsia="es-ES"/>
        </w:rPr>
        <w:t>19</w:t>
      </w:r>
      <w:bookmarkEnd w:id="19"/>
      <w:r w:rsidRPr="003C0D04">
        <w:rPr>
          <w:rFonts w:ascii="Arial" w:eastAsia="Times New Roman" w:hAnsi="Arial" w:cs="Arial"/>
          <w:color w:val="000000"/>
          <w:lang w:eastAsia="es-ES"/>
        </w:rPr>
        <w:t>      En el asunto C</w:t>
      </w:r>
      <w:r w:rsidRPr="003C0D04">
        <w:rPr>
          <w:rFonts w:ascii="Arial" w:eastAsia="Times New Roman" w:hAnsi="Arial" w:cs="Arial"/>
          <w:color w:val="000000"/>
          <w:lang w:eastAsia="es-ES"/>
        </w:rPr>
        <w:noBreakHyphen/>
        <w:t>482/13, el préstamo hipotecario llevaba aparejados intereses moratorios calculados al tipo del 18 %, el cual podía aumentar si, al incrementar en cuatro puntos el tipo de interés variable, resultara un tipo de interés superior a aquél, no pudiendo rebasarse en ningún caso el tope máximo del 25 % nominal anual. En los asuntos C</w:t>
      </w:r>
      <w:r w:rsidRPr="003C0D04">
        <w:rPr>
          <w:rFonts w:ascii="Arial" w:eastAsia="Times New Roman" w:hAnsi="Arial" w:cs="Arial"/>
          <w:color w:val="000000"/>
          <w:lang w:eastAsia="es-ES"/>
        </w:rPr>
        <w:noBreakHyphen/>
        <w:t>484/13, C</w:t>
      </w:r>
      <w:r w:rsidRPr="003C0D04">
        <w:rPr>
          <w:rFonts w:ascii="Arial" w:eastAsia="Times New Roman" w:hAnsi="Arial" w:cs="Arial"/>
          <w:color w:val="000000"/>
          <w:lang w:eastAsia="es-ES"/>
        </w:rPr>
        <w:noBreakHyphen/>
        <w:t>485/13 y C</w:t>
      </w:r>
      <w:r w:rsidRPr="003C0D04">
        <w:rPr>
          <w:rFonts w:ascii="Arial" w:eastAsia="Times New Roman" w:hAnsi="Arial" w:cs="Arial"/>
          <w:color w:val="000000"/>
          <w:lang w:eastAsia="es-ES"/>
        </w:rPr>
        <w:noBreakHyphen/>
        <w:t>487/13, los préstamos hipotecarios llevaban aparejados intereses moratorios calculados al tipo del 22,5 %.</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0" w:name="point20"/>
      <w:r w:rsidRPr="003C0D04">
        <w:rPr>
          <w:rFonts w:ascii="Arial" w:eastAsia="Times New Roman" w:hAnsi="Arial" w:cs="Arial"/>
          <w:color w:val="000000"/>
          <w:lang w:eastAsia="es-ES"/>
        </w:rPr>
        <w:t>20</w:t>
      </w:r>
      <w:bookmarkEnd w:id="20"/>
      <w:r w:rsidRPr="003C0D04">
        <w:rPr>
          <w:rFonts w:ascii="Arial" w:eastAsia="Times New Roman" w:hAnsi="Arial" w:cs="Arial"/>
          <w:color w:val="000000"/>
          <w:lang w:eastAsia="es-ES"/>
        </w:rPr>
        <w:t>      Asimismo, todos los contratos de préstamo a los que se refieren los litigios principales incluyen una cláusula con arreglo a la cual, en caso de que el prestatario incumpla sus obligaciones de pago, el prestamista puede anticipar el vencimiento inicialmente pactado y exigir el pago de la totalidad del capital pendiente, más los intereses, intereses de demora, comisiones, gastos y costas pactados.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1" w:name="point21"/>
      <w:r w:rsidRPr="003C0D04">
        <w:rPr>
          <w:rFonts w:ascii="Arial" w:eastAsia="Times New Roman" w:hAnsi="Arial" w:cs="Arial"/>
          <w:color w:val="000000"/>
          <w:lang w:eastAsia="es-ES"/>
        </w:rPr>
        <w:t>21</w:t>
      </w:r>
      <w:bookmarkEnd w:id="21"/>
      <w:r w:rsidRPr="003C0D04">
        <w:rPr>
          <w:rFonts w:ascii="Arial" w:eastAsia="Times New Roman" w:hAnsi="Arial" w:cs="Arial"/>
          <w:color w:val="000000"/>
          <w:lang w:eastAsia="es-ES"/>
        </w:rPr>
        <w:t xml:space="preserve">      Entre el 21 de marzo de 2012 y el 3 de abril de 2013, </w:t>
      </w:r>
      <w:proofErr w:type="spellStart"/>
      <w:r w:rsidRPr="003C0D04">
        <w:rPr>
          <w:rFonts w:ascii="Arial" w:eastAsia="Times New Roman" w:hAnsi="Arial" w:cs="Arial"/>
          <w:color w:val="000000"/>
          <w:lang w:eastAsia="es-ES"/>
        </w:rPr>
        <w:t>Unicaja</w:t>
      </w:r>
      <w:proofErr w:type="spellEnd"/>
      <w:r w:rsidRPr="003C0D04">
        <w:rPr>
          <w:rFonts w:ascii="Arial" w:eastAsia="Times New Roman" w:hAnsi="Arial" w:cs="Arial"/>
          <w:color w:val="000000"/>
          <w:lang w:eastAsia="es-ES"/>
        </w:rPr>
        <w:t xml:space="preserve"> Banco y </w:t>
      </w:r>
      <w:proofErr w:type="spellStart"/>
      <w:r w:rsidRPr="003C0D04">
        <w:rPr>
          <w:rFonts w:ascii="Arial" w:eastAsia="Times New Roman" w:hAnsi="Arial" w:cs="Arial"/>
          <w:color w:val="000000"/>
          <w:lang w:eastAsia="es-ES"/>
        </w:rPr>
        <w:t>Caixabank</w:t>
      </w:r>
      <w:proofErr w:type="spellEnd"/>
      <w:r w:rsidRPr="003C0D04">
        <w:rPr>
          <w:rFonts w:ascii="Arial" w:eastAsia="Times New Roman" w:hAnsi="Arial" w:cs="Arial"/>
          <w:color w:val="000000"/>
          <w:lang w:eastAsia="es-ES"/>
        </w:rPr>
        <w:t xml:space="preserve"> presentaron ante el órgano jurisdiccional remitente demandas de </w:t>
      </w:r>
      <w:r w:rsidRPr="003C0D04">
        <w:rPr>
          <w:rFonts w:ascii="Arial" w:eastAsia="Times New Roman" w:hAnsi="Arial" w:cs="Arial"/>
          <w:color w:val="000000"/>
          <w:lang w:eastAsia="es-ES"/>
        </w:rPr>
        <w:lastRenderedPageBreak/>
        <w:t>ejecución por las cantidades debidas tras aplicar los tipos de interés de demora estipulados en los contratos de préstamo hipotecario en cuestión. En el marco de estos procedimientos, dicho órgano jurisdiccional se planteó la cuestión del posible carácter «abusivo», en el sentido del artículo 3, apartado 1, de la Directiva 93/13, de las cláusulas relativas a los tipos de interés de demora y de la aplicación de esos tipos de interés al capital cuyo vencimiento anticipado es consecuencia del retraso en el pago.</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2" w:name="point22"/>
      <w:r w:rsidRPr="003C0D04">
        <w:rPr>
          <w:rFonts w:ascii="Arial" w:eastAsia="Times New Roman" w:hAnsi="Arial" w:cs="Arial"/>
          <w:color w:val="000000"/>
          <w:lang w:eastAsia="es-ES"/>
        </w:rPr>
        <w:t>22</w:t>
      </w:r>
      <w:bookmarkEnd w:id="22"/>
      <w:r w:rsidRPr="003C0D04">
        <w:rPr>
          <w:rFonts w:ascii="Arial" w:eastAsia="Times New Roman" w:hAnsi="Arial" w:cs="Arial"/>
          <w:color w:val="000000"/>
          <w:lang w:eastAsia="es-ES"/>
        </w:rPr>
        <w:t xml:space="preserve">      A este respecto, el órgano jurisdiccional remitente alberga, no obstante, dudas acerca de las consecuencias que debe extraer del carácter abusivo de dichas cláusulas a la luz de la disposición transitoria segunda de la Ley 1/2013. De este modo, si el órgano jurisdiccional remitente tuviera que aplicar dicha disposición, debería ordenar que se </w:t>
      </w:r>
      <w:proofErr w:type="spellStart"/>
      <w:r w:rsidRPr="003C0D04">
        <w:rPr>
          <w:rFonts w:ascii="Arial" w:eastAsia="Times New Roman" w:hAnsi="Arial" w:cs="Arial"/>
          <w:color w:val="000000"/>
          <w:lang w:eastAsia="es-ES"/>
        </w:rPr>
        <w:t>recalcularan</w:t>
      </w:r>
      <w:proofErr w:type="spellEnd"/>
      <w:r w:rsidRPr="003C0D04">
        <w:rPr>
          <w:rFonts w:ascii="Arial" w:eastAsia="Times New Roman" w:hAnsi="Arial" w:cs="Arial"/>
          <w:color w:val="000000"/>
          <w:lang w:eastAsia="es-ES"/>
        </w:rPr>
        <w:t xml:space="preserve"> los intereses de demora, según se prevé en el párrafo tercero de la citada disposición transitoria.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3" w:name="point23"/>
      <w:r w:rsidRPr="003C0D04">
        <w:rPr>
          <w:rFonts w:ascii="Arial" w:eastAsia="Times New Roman" w:hAnsi="Arial" w:cs="Arial"/>
          <w:color w:val="000000"/>
          <w:lang w:eastAsia="es-ES"/>
        </w:rPr>
        <w:t>23</w:t>
      </w:r>
      <w:bookmarkEnd w:id="23"/>
      <w:r w:rsidRPr="003C0D04">
        <w:rPr>
          <w:rFonts w:ascii="Arial" w:eastAsia="Times New Roman" w:hAnsi="Arial" w:cs="Arial"/>
          <w:color w:val="000000"/>
          <w:lang w:eastAsia="es-ES"/>
        </w:rPr>
        <w:t>      En estas circunstancias, el Juzgado de Primera Instancia e Instrucción nº 2 de Marchena decidió suspender el procedimiento y plantear al Tribunal de Justicia las siguientes cuestiones prejudiciales:</w:t>
      </w:r>
    </w:p>
    <w:p w:rsidR="003C0D04" w:rsidRPr="003C0D04" w:rsidRDefault="003C0D04" w:rsidP="003C0D04">
      <w:pPr>
        <w:spacing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«1)      Si de conformidad con la Directiva 93/13 […], en particular con el artículo 6, apartado 1, de la Directiva, y a fin de garantizar la protección de consumidores y usuarios de acuerdo con los principios de equivalencia y efectividad, cuando un juez nacional aprecie la existencia de una cláusula abusiva relativa a interés moratorio en préstamos hipotecarios debe proceder a declarar la nulidad de la cláusula y su carácter no vinculante o por el contrario debe proceder a moderar la cláusula de intereses dando traslado al ejecutante o prestamista para que </w:t>
      </w:r>
      <w:proofErr w:type="spellStart"/>
      <w:r w:rsidRPr="003C0D04">
        <w:rPr>
          <w:rFonts w:ascii="Arial" w:eastAsia="Times New Roman" w:hAnsi="Arial" w:cs="Arial"/>
          <w:color w:val="000000"/>
          <w:lang w:eastAsia="es-ES"/>
        </w:rPr>
        <w:t>recalculen</w:t>
      </w:r>
      <w:proofErr w:type="spellEnd"/>
      <w:r w:rsidRPr="003C0D04">
        <w:rPr>
          <w:rFonts w:ascii="Arial" w:eastAsia="Times New Roman" w:hAnsi="Arial" w:cs="Arial"/>
          <w:color w:val="000000"/>
          <w:lang w:eastAsia="es-ES"/>
        </w:rPr>
        <w:t xml:space="preserve"> los intereses.</w:t>
      </w:r>
    </w:p>
    <w:p w:rsidR="003C0D04" w:rsidRPr="003C0D04" w:rsidRDefault="003C0D04" w:rsidP="003C0D04">
      <w:pPr>
        <w:spacing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2)      Si la disposición transitoria segunda de la Ley 1/2013 […] no supone sino una limitación clara a la protección del interés del consumidor, al imponer implícitamente al órgano jurisdiccional la obligación de moderar una cláusula de interés de demora que haya incurrido en </w:t>
      </w:r>
      <w:proofErr w:type="spellStart"/>
      <w:r w:rsidRPr="003C0D04">
        <w:rPr>
          <w:rFonts w:ascii="Arial" w:eastAsia="Times New Roman" w:hAnsi="Arial" w:cs="Arial"/>
          <w:color w:val="000000"/>
          <w:lang w:eastAsia="es-ES"/>
        </w:rPr>
        <w:t>abusividad</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recalculando</w:t>
      </w:r>
      <w:proofErr w:type="spellEnd"/>
      <w:r w:rsidRPr="003C0D04">
        <w:rPr>
          <w:rFonts w:ascii="Arial" w:eastAsia="Times New Roman" w:hAnsi="Arial" w:cs="Arial"/>
          <w:color w:val="000000"/>
          <w:lang w:eastAsia="es-ES"/>
        </w:rPr>
        <w:t xml:space="preserve"> los intereses estipulados y manteniendo la vigencia de una estipulación que tenía un carácter abusivo, en lugar de declarar la nulidad de la cláusula y la no vinculación del consumidor a la misma.</w:t>
      </w:r>
    </w:p>
    <w:p w:rsidR="003C0D04" w:rsidRPr="003C0D04" w:rsidRDefault="003C0D04" w:rsidP="003C0D04">
      <w:pPr>
        <w:spacing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xml:space="preserve">3)      Si la disposición transitoria segunda de la Ley 1/2013 […], contraviene la Directiva 93/13 […], en particular el artículo 6, apartado 1, de la mencionada Directiva, al impedir la aplicación de los principios de equivalencia y efectividad en materia de protección al consumidor y evitar la aplicación de la sanción de nulidad y no vinculación sobre las cláusulas de interés de demora incursas en </w:t>
      </w:r>
      <w:proofErr w:type="spellStart"/>
      <w:r w:rsidRPr="003C0D04">
        <w:rPr>
          <w:rFonts w:ascii="Arial" w:eastAsia="Times New Roman" w:hAnsi="Arial" w:cs="Arial"/>
          <w:color w:val="000000"/>
          <w:lang w:eastAsia="es-ES"/>
        </w:rPr>
        <w:t>abusividad</w:t>
      </w:r>
      <w:proofErr w:type="spellEnd"/>
      <w:r w:rsidRPr="003C0D04">
        <w:rPr>
          <w:rFonts w:ascii="Arial" w:eastAsia="Times New Roman" w:hAnsi="Arial" w:cs="Arial"/>
          <w:color w:val="000000"/>
          <w:lang w:eastAsia="es-ES"/>
        </w:rPr>
        <w:t xml:space="preserve"> estipuladas en préstamos hipotecarios concertados con anterioridad a la entrada en vigor de la Ley 1/2013 […].»</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4" w:name="point24"/>
      <w:r w:rsidRPr="003C0D04">
        <w:rPr>
          <w:rFonts w:ascii="Arial" w:eastAsia="Times New Roman" w:hAnsi="Arial" w:cs="Arial"/>
          <w:color w:val="000000"/>
          <w:lang w:eastAsia="es-ES"/>
        </w:rPr>
        <w:t>24</w:t>
      </w:r>
      <w:bookmarkEnd w:id="24"/>
      <w:r w:rsidRPr="003C0D04">
        <w:rPr>
          <w:rFonts w:ascii="Arial" w:eastAsia="Times New Roman" w:hAnsi="Arial" w:cs="Arial"/>
          <w:color w:val="000000"/>
          <w:lang w:eastAsia="es-ES"/>
        </w:rPr>
        <w:t xml:space="preserve">      Mediante auto del Presidente del Tribunal de Justicia de 10 de octubre de 2013, se ordenó la acumulación </w:t>
      </w:r>
      <w:proofErr w:type="gramStart"/>
      <w:r w:rsidRPr="003C0D04">
        <w:rPr>
          <w:rFonts w:ascii="Arial" w:eastAsia="Times New Roman" w:hAnsi="Arial" w:cs="Arial"/>
          <w:color w:val="000000"/>
          <w:lang w:eastAsia="es-ES"/>
        </w:rPr>
        <w:t>de los asuntos C</w:t>
      </w:r>
      <w:r w:rsidRPr="003C0D04">
        <w:rPr>
          <w:rFonts w:ascii="Arial" w:eastAsia="Times New Roman" w:hAnsi="Arial" w:cs="Arial"/>
          <w:color w:val="000000"/>
          <w:lang w:eastAsia="es-ES"/>
        </w:rPr>
        <w:noBreakHyphen/>
        <w:t>482/13 a C</w:t>
      </w:r>
      <w:r w:rsidRPr="003C0D04">
        <w:rPr>
          <w:rFonts w:ascii="Arial" w:eastAsia="Times New Roman" w:hAnsi="Arial" w:cs="Arial"/>
          <w:color w:val="000000"/>
          <w:lang w:eastAsia="es-ES"/>
        </w:rPr>
        <w:noBreakHyphen/>
        <w:t>487/13 a efectos de las fases escrita y oral</w:t>
      </w:r>
      <w:proofErr w:type="gramEnd"/>
      <w:r w:rsidRPr="003C0D04">
        <w:rPr>
          <w:rFonts w:ascii="Arial" w:eastAsia="Times New Roman" w:hAnsi="Arial" w:cs="Arial"/>
          <w:color w:val="000000"/>
          <w:lang w:eastAsia="es-ES"/>
        </w:rPr>
        <w:t xml:space="preserve"> del procedimiento, así como de la sentencia.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5" w:name="point25"/>
      <w:r w:rsidRPr="003C0D04">
        <w:rPr>
          <w:rFonts w:ascii="Arial" w:eastAsia="Times New Roman" w:hAnsi="Arial" w:cs="Arial"/>
          <w:color w:val="000000"/>
          <w:lang w:eastAsia="es-ES"/>
        </w:rPr>
        <w:t>25</w:t>
      </w:r>
      <w:bookmarkEnd w:id="25"/>
      <w:r w:rsidRPr="003C0D04">
        <w:rPr>
          <w:rFonts w:ascii="Arial" w:eastAsia="Times New Roman" w:hAnsi="Arial" w:cs="Arial"/>
          <w:color w:val="000000"/>
          <w:lang w:eastAsia="es-ES"/>
        </w:rPr>
        <w:t>      Mediante autos del Presidente del Tribunal de Justicia de 13 de marzo y de 3 de octubre de 2014, respectivamente, se ordenó separar del presente procedimiento los asuntos C</w:t>
      </w:r>
      <w:r w:rsidRPr="003C0D04">
        <w:rPr>
          <w:rFonts w:ascii="Arial" w:eastAsia="Times New Roman" w:hAnsi="Arial" w:cs="Arial"/>
          <w:color w:val="000000"/>
          <w:lang w:eastAsia="es-ES"/>
        </w:rPr>
        <w:noBreakHyphen/>
        <w:t>486/13 y C</w:t>
      </w:r>
      <w:r w:rsidRPr="003C0D04">
        <w:rPr>
          <w:rFonts w:ascii="Arial" w:eastAsia="Times New Roman" w:hAnsi="Arial" w:cs="Arial"/>
          <w:color w:val="000000"/>
          <w:lang w:eastAsia="es-ES"/>
        </w:rPr>
        <w:noBreakHyphen/>
        <w:t>483/13, al haberse procedido al archivo de los mismos.</w:t>
      </w:r>
    </w:p>
    <w:p w:rsidR="003C0D04" w:rsidRPr="003C0D04" w:rsidRDefault="003C0D04" w:rsidP="003C0D04">
      <w:pPr>
        <w:spacing w:before="480" w:after="240" w:line="240" w:lineRule="auto"/>
        <w:ind w:left="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lastRenderedPageBreak/>
        <w:t> Sobre las cuestiones prejudiciales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6" w:name="point26"/>
      <w:r w:rsidRPr="003C0D04">
        <w:rPr>
          <w:rFonts w:ascii="Arial" w:eastAsia="Times New Roman" w:hAnsi="Arial" w:cs="Arial"/>
          <w:color w:val="000000"/>
          <w:lang w:eastAsia="es-ES"/>
        </w:rPr>
        <w:t>26</w:t>
      </w:r>
      <w:bookmarkEnd w:id="26"/>
      <w:r w:rsidRPr="003C0D04">
        <w:rPr>
          <w:rFonts w:ascii="Arial" w:eastAsia="Times New Roman" w:hAnsi="Arial" w:cs="Arial"/>
          <w:color w:val="000000"/>
          <w:lang w:eastAsia="es-ES"/>
        </w:rPr>
        <w:t xml:space="preserve">      Mediante sus cuestiones prejudiciales, que procede examinar conjuntamente, el órgano jurisdiccional remitente pregunta fundamentalmente si el artículo 6, apartado 1, de la Directiva 93/13 debe interpretarse en el sentido de que se opone a una disposición nacional con arreglo a la cual el juez nacional que conoce de un procedimiento de ejecución hipotecaria está obligado a hacer que se </w:t>
      </w:r>
      <w:proofErr w:type="spellStart"/>
      <w:r w:rsidRPr="003C0D04">
        <w:rPr>
          <w:rFonts w:ascii="Arial" w:eastAsia="Times New Roman" w:hAnsi="Arial" w:cs="Arial"/>
          <w:color w:val="000000"/>
          <w:lang w:eastAsia="es-ES"/>
        </w:rPr>
        <w:t>recalculen</w:t>
      </w:r>
      <w:proofErr w:type="spellEnd"/>
      <w:r w:rsidRPr="003C0D04">
        <w:rPr>
          <w:rFonts w:ascii="Arial" w:eastAsia="Times New Roman" w:hAnsi="Arial" w:cs="Arial"/>
          <w:color w:val="000000"/>
          <w:lang w:eastAsia="es-ES"/>
        </w:rPr>
        <w:t xml:space="preserve"> las cantidades debidas en virtud de la cláusula de un contrato de préstamo hipotecario que fija unos intereses de demora calculados a un tipo superior a tres veces el interés legal del dinero, mediante la aplicación de un tipo de interés de demora que no rebase ese límite máximo.</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7" w:name="point27"/>
      <w:r w:rsidRPr="003C0D04">
        <w:rPr>
          <w:rFonts w:ascii="Arial" w:eastAsia="Times New Roman" w:hAnsi="Arial" w:cs="Arial"/>
          <w:color w:val="000000"/>
          <w:lang w:eastAsia="es-ES"/>
        </w:rPr>
        <w:t>27</w:t>
      </w:r>
      <w:bookmarkEnd w:id="27"/>
      <w:r w:rsidRPr="003C0D04">
        <w:rPr>
          <w:rFonts w:ascii="Arial" w:eastAsia="Times New Roman" w:hAnsi="Arial" w:cs="Arial"/>
          <w:color w:val="000000"/>
          <w:lang w:eastAsia="es-ES"/>
        </w:rPr>
        <w:t>      A este respecto, es preciso comenzar señalando que el órgano jurisdiccional remitente considera que las cláusulas relativas a los intereses de demora de los contratos de préstamo hipotecario cuya ejecución se le solicita son «abusivas» en el sentido del artículo 3 de la Directiva 93/13.</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8" w:name="point28"/>
      <w:r w:rsidRPr="003C0D04">
        <w:rPr>
          <w:rFonts w:ascii="Arial" w:eastAsia="Times New Roman" w:hAnsi="Arial" w:cs="Arial"/>
          <w:color w:val="000000"/>
          <w:lang w:eastAsia="es-ES"/>
        </w:rPr>
        <w:t>28</w:t>
      </w:r>
      <w:bookmarkEnd w:id="28"/>
      <w:r w:rsidRPr="003C0D04">
        <w:rPr>
          <w:rFonts w:ascii="Arial" w:eastAsia="Times New Roman" w:hAnsi="Arial" w:cs="Arial"/>
          <w:color w:val="000000"/>
          <w:lang w:eastAsia="es-ES"/>
        </w:rPr>
        <w:t>      En este contexto, procede recordar que, en lo que se refiere a las consecuencias que deben extraerse de la apreciación del carácter abusivo de una cláusula de un contrato que vincula a un consumidor y un profesional, de la redacción del artículo 6, apartado 1, de la Directiva 93/13 resulta que los jueces nacionales están obligados únicamente a dejar sin aplicación la cláusula contractual abusiva, a fin de que ésta no produzca efectos vinculantes para el consumidor, sin estar facultados para modificar el contenido de la misma. En efecto, el contrato debe subsistir, en principio, sin otra modificación que la resultante de la supresión de las cláusulas abusivas, en la medida en que, en virtud de las normas del Derecho interno, ese mantenimiento del contrato sea jurídicamente posible (sentencias Banco Español de Crédito, C</w:t>
      </w:r>
      <w:r w:rsidRPr="003C0D04">
        <w:rPr>
          <w:rFonts w:ascii="Arial" w:eastAsia="Times New Roman" w:hAnsi="Arial" w:cs="Arial"/>
          <w:color w:val="000000"/>
          <w:lang w:eastAsia="es-ES"/>
        </w:rPr>
        <w:noBreakHyphen/>
        <w:t>618/10, EU</w:t>
      </w:r>
      <w:proofErr w:type="gramStart"/>
      <w:r w:rsidRPr="003C0D04">
        <w:rPr>
          <w:rFonts w:ascii="Arial" w:eastAsia="Times New Roman" w:hAnsi="Arial" w:cs="Arial"/>
          <w:color w:val="000000"/>
          <w:lang w:eastAsia="es-ES"/>
        </w:rPr>
        <w:t>:C:2012:349</w:t>
      </w:r>
      <w:proofErr w:type="gramEnd"/>
      <w:r w:rsidRPr="003C0D04">
        <w:rPr>
          <w:rFonts w:ascii="Arial" w:eastAsia="Times New Roman" w:hAnsi="Arial" w:cs="Arial"/>
          <w:color w:val="000000"/>
          <w:lang w:eastAsia="es-ES"/>
        </w:rPr>
        <w:t xml:space="preserve">, apartado 65, y </w:t>
      </w:r>
      <w:proofErr w:type="spellStart"/>
      <w:r w:rsidRPr="003C0D04">
        <w:rPr>
          <w:rFonts w:ascii="Arial" w:eastAsia="Times New Roman" w:hAnsi="Arial" w:cs="Arial"/>
          <w:color w:val="000000"/>
          <w:lang w:eastAsia="es-ES"/>
        </w:rPr>
        <w:t>Asbeek</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Brusse</w:t>
      </w:r>
      <w:proofErr w:type="spellEnd"/>
      <w:r w:rsidRPr="003C0D04">
        <w:rPr>
          <w:rFonts w:ascii="Arial" w:eastAsia="Times New Roman" w:hAnsi="Arial" w:cs="Arial"/>
          <w:color w:val="000000"/>
          <w:lang w:eastAsia="es-ES"/>
        </w:rPr>
        <w:t xml:space="preserve"> y de </w:t>
      </w:r>
      <w:proofErr w:type="spellStart"/>
      <w:r w:rsidRPr="003C0D04">
        <w:rPr>
          <w:rFonts w:ascii="Arial" w:eastAsia="Times New Roman" w:hAnsi="Arial" w:cs="Arial"/>
          <w:color w:val="000000"/>
          <w:lang w:eastAsia="es-ES"/>
        </w:rPr>
        <w:t>Man</w:t>
      </w:r>
      <w:proofErr w:type="spellEnd"/>
      <w:r w:rsidRPr="003C0D04">
        <w:rPr>
          <w:rFonts w:ascii="Arial" w:eastAsia="Times New Roman" w:hAnsi="Arial" w:cs="Arial"/>
          <w:color w:val="000000"/>
          <w:lang w:eastAsia="es-ES"/>
        </w:rPr>
        <w:t xml:space="preserve"> Garabito, C</w:t>
      </w:r>
      <w:r w:rsidRPr="003C0D04">
        <w:rPr>
          <w:rFonts w:ascii="Arial" w:eastAsia="Times New Roman" w:hAnsi="Arial" w:cs="Arial"/>
          <w:color w:val="000000"/>
          <w:lang w:eastAsia="es-ES"/>
        </w:rPr>
        <w:noBreakHyphen/>
        <w:t>488/11, EU:C:2013:341, apartado 57).</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29" w:name="point29"/>
      <w:r w:rsidRPr="003C0D04">
        <w:rPr>
          <w:rFonts w:ascii="Arial" w:eastAsia="Times New Roman" w:hAnsi="Arial" w:cs="Arial"/>
          <w:color w:val="000000"/>
          <w:lang w:eastAsia="es-ES"/>
        </w:rPr>
        <w:t>29</w:t>
      </w:r>
      <w:bookmarkEnd w:id="29"/>
      <w:r w:rsidRPr="003C0D04">
        <w:rPr>
          <w:rFonts w:ascii="Arial" w:eastAsia="Times New Roman" w:hAnsi="Arial" w:cs="Arial"/>
          <w:color w:val="000000"/>
          <w:lang w:eastAsia="es-ES"/>
        </w:rPr>
        <w:t xml:space="preserve">      En particular, la citada disposición no puede interpretarse en el sentido de que permita al juez nacional, cuando aprecie el carácter abusivo de una cláusula penal en un contrato celebrado entre un profesional y un consumidor, reducir el importe de la pena convencional impuesta al consumidor, en lugar de excluir plenamente la aplicación a éste de la referida cláusula (sentencia </w:t>
      </w:r>
      <w:proofErr w:type="spellStart"/>
      <w:r w:rsidRPr="003C0D04">
        <w:rPr>
          <w:rFonts w:ascii="Arial" w:eastAsia="Times New Roman" w:hAnsi="Arial" w:cs="Arial"/>
          <w:color w:val="000000"/>
          <w:lang w:eastAsia="es-ES"/>
        </w:rPr>
        <w:t>Asbeek</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Brusse</w:t>
      </w:r>
      <w:proofErr w:type="spellEnd"/>
      <w:r w:rsidRPr="003C0D04">
        <w:rPr>
          <w:rFonts w:ascii="Arial" w:eastAsia="Times New Roman" w:hAnsi="Arial" w:cs="Arial"/>
          <w:color w:val="000000"/>
          <w:lang w:eastAsia="es-ES"/>
        </w:rPr>
        <w:t xml:space="preserve"> y de </w:t>
      </w:r>
      <w:proofErr w:type="spellStart"/>
      <w:r w:rsidRPr="003C0D04">
        <w:rPr>
          <w:rFonts w:ascii="Arial" w:eastAsia="Times New Roman" w:hAnsi="Arial" w:cs="Arial"/>
          <w:color w:val="000000"/>
          <w:lang w:eastAsia="es-ES"/>
        </w:rPr>
        <w:t>Man</w:t>
      </w:r>
      <w:proofErr w:type="spellEnd"/>
      <w:r w:rsidRPr="003C0D04">
        <w:rPr>
          <w:rFonts w:ascii="Arial" w:eastAsia="Times New Roman" w:hAnsi="Arial" w:cs="Arial"/>
          <w:color w:val="000000"/>
          <w:lang w:eastAsia="es-ES"/>
        </w:rPr>
        <w:t xml:space="preserve"> Garabito, EU</w:t>
      </w:r>
      <w:proofErr w:type="gramStart"/>
      <w:r w:rsidRPr="003C0D04">
        <w:rPr>
          <w:rFonts w:ascii="Arial" w:eastAsia="Times New Roman" w:hAnsi="Arial" w:cs="Arial"/>
          <w:color w:val="000000"/>
          <w:lang w:eastAsia="es-ES"/>
        </w:rPr>
        <w:t>:C:2013:341</w:t>
      </w:r>
      <w:proofErr w:type="gramEnd"/>
      <w:r w:rsidRPr="003C0D04">
        <w:rPr>
          <w:rFonts w:ascii="Arial" w:eastAsia="Times New Roman" w:hAnsi="Arial" w:cs="Arial"/>
          <w:color w:val="000000"/>
          <w:lang w:eastAsia="es-ES"/>
        </w:rPr>
        <w:t>, apartado 59).</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0" w:name="point30"/>
      <w:r w:rsidRPr="003C0D04">
        <w:rPr>
          <w:rFonts w:ascii="Arial" w:eastAsia="Times New Roman" w:hAnsi="Arial" w:cs="Arial"/>
          <w:color w:val="000000"/>
          <w:lang w:eastAsia="es-ES"/>
        </w:rPr>
        <w:t>30</w:t>
      </w:r>
      <w:bookmarkEnd w:id="30"/>
      <w:r w:rsidRPr="003C0D04">
        <w:rPr>
          <w:rFonts w:ascii="Arial" w:eastAsia="Times New Roman" w:hAnsi="Arial" w:cs="Arial"/>
          <w:color w:val="000000"/>
          <w:lang w:eastAsia="es-ES"/>
        </w:rPr>
        <w:t xml:space="preserve">      Asimismo, habida cuenta de la naturaleza y la importancia del interés público que constituye la protección de los consumidores, los cuales se encuentran en una situación de inferioridad en relación con los profesionales, la Directiva 93/13 impone a los Estados miembros, tal como se desprende de su artículo 7, apartado 1, en relación con su vigésimo cuarto considerando, la obligación de prever medios adecuados y eficaces para que cese el uso de cláusulas abusivas en los contratos celebrados entre profesionales y consumidores (sentencias Banco Español de Crédito, EU:C:2012:349, apartado 68, y </w:t>
      </w:r>
      <w:proofErr w:type="spellStart"/>
      <w:r w:rsidRPr="003C0D04">
        <w:rPr>
          <w:rFonts w:ascii="Arial" w:eastAsia="Times New Roman" w:hAnsi="Arial" w:cs="Arial"/>
          <w:color w:val="000000"/>
          <w:lang w:eastAsia="es-ES"/>
        </w:rPr>
        <w:t>Kásler</w:t>
      </w:r>
      <w:proofErr w:type="spellEnd"/>
      <w:r w:rsidRPr="003C0D04">
        <w:rPr>
          <w:rFonts w:ascii="Arial" w:eastAsia="Times New Roman" w:hAnsi="Arial" w:cs="Arial"/>
          <w:color w:val="000000"/>
          <w:lang w:eastAsia="es-ES"/>
        </w:rPr>
        <w:t xml:space="preserve"> y </w:t>
      </w:r>
      <w:proofErr w:type="spellStart"/>
      <w:r w:rsidRPr="003C0D04">
        <w:rPr>
          <w:rFonts w:ascii="Arial" w:eastAsia="Times New Roman" w:hAnsi="Arial" w:cs="Arial"/>
          <w:color w:val="000000"/>
          <w:lang w:eastAsia="es-ES"/>
        </w:rPr>
        <w:t>Káslerné</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Rábai</w:t>
      </w:r>
      <w:proofErr w:type="spellEnd"/>
      <w:r w:rsidRPr="003C0D04">
        <w:rPr>
          <w:rFonts w:ascii="Arial" w:eastAsia="Times New Roman" w:hAnsi="Arial" w:cs="Arial"/>
          <w:color w:val="000000"/>
          <w:lang w:eastAsia="es-ES"/>
        </w:rPr>
        <w:t>, C</w:t>
      </w:r>
      <w:r w:rsidRPr="003C0D04">
        <w:rPr>
          <w:rFonts w:ascii="Arial" w:eastAsia="Times New Roman" w:hAnsi="Arial" w:cs="Arial"/>
          <w:color w:val="000000"/>
          <w:lang w:eastAsia="es-ES"/>
        </w:rPr>
        <w:noBreakHyphen/>
        <w:t>26/13, EU:C:2014:282, apartado 78).</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1" w:name="point31"/>
      <w:r w:rsidRPr="003C0D04">
        <w:rPr>
          <w:rFonts w:ascii="Arial" w:eastAsia="Times New Roman" w:hAnsi="Arial" w:cs="Arial"/>
          <w:color w:val="000000"/>
          <w:lang w:eastAsia="es-ES"/>
        </w:rPr>
        <w:t>31</w:t>
      </w:r>
      <w:bookmarkEnd w:id="31"/>
      <w:r w:rsidRPr="003C0D04">
        <w:rPr>
          <w:rFonts w:ascii="Arial" w:eastAsia="Times New Roman" w:hAnsi="Arial" w:cs="Arial"/>
          <w:color w:val="000000"/>
          <w:lang w:eastAsia="es-ES"/>
        </w:rPr>
        <w:t xml:space="preserve">      De hecho, si el juez nacional tuviera la facultad de modificar el contenido de las cláusulas abusivas, dicha facultad podría poner en peligro la consecución del objetivo a largo plazo previsto en el artículo 7 de la Directiva 93/13. En efecto, la mencionada facultad contribuiría a eliminar el efecto disuasorio que ejerce sobre los profesionales el hecho de que, pura y simplemente, tales cláusulas abusivas no se apliquen frente a los consumidores, en la medida en que los profesionales </w:t>
      </w:r>
      <w:r w:rsidRPr="003C0D04">
        <w:rPr>
          <w:rFonts w:ascii="Arial" w:eastAsia="Times New Roman" w:hAnsi="Arial" w:cs="Arial"/>
          <w:color w:val="000000"/>
          <w:lang w:eastAsia="es-ES"/>
        </w:rPr>
        <w:lastRenderedPageBreak/>
        <w:t xml:space="preserve">podrían verse tentados a utilizar tales cláusulas al saber que, aun cuando llegara a declararse la nulidad de las mismas, el contrato podría ser integrado por el juez nacional en lo que fuera necesario, garantizando de este modo el interés de dichos profesionales (sentencias Banco Español de Crédito, EU:C:2012:349, apartado 69, y </w:t>
      </w:r>
      <w:proofErr w:type="spellStart"/>
      <w:r w:rsidRPr="003C0D04">
        <w:rPr>
          <w:rFonts w:ascii="Arial" w:eastAsia="Times New Roman" w:hAnsi="Arial" w:cs="Arial"/>
          <w:color w:val="000000"/>
          <w:lang w:eastAsia="es-ES"/>
        </w:rPr>
        <w:t>Kásler</w:t>
      </w:r>
      <w:proofErr w:type="spellEnd"/>
      <w:r w:rsidRPr="003C0D04">
        <w:rPr>
          <w:rFonts w:ascii="Arial" w:eastAsia="Times New Roman" w:hAnsi="Arial" w:cs="Arial"/>
          <w:color w:val="000000"/>
          <w:lang w:eastAsia="es-ES"/>
        </w:rPr>
        <w:t xml:space="preserve"> y </w:t>
      </w:r>
      <w:proofErr w:type="spellStart"/>
      <w:r w:rsidRPr="003C0D04">
        <w:rPr>
          <w:rFonts w:ascii="Arial" w:eastAsia="Times New Roman" w:hAnsi="Arial" w:cs="Arial"/>
          <w:color w:val="000000"/>
          <w:lang w:eastAsia="es-ES"/>
        </w:rPr>
        <w:t>Káslerné</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Rábai</w:t>
      </w:r>
      <w:proofErr w:type="spellEnd"/>
      <w:r w:rsidRPr="003C0D04">
        <w:rPr>
          <w:rFonts w:ascii="Arial" w:eastAsia="Times New Roman" w:hAnsi="Arial" w:cs="Arial"/>
          <w:color w:val="000000"/>
          <w:lang w:eastAsia="es-ES"/>
        </w:rPr>
        <w:t>, EU:C:2014:282, apartado 79).</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2" w:name="point32"/>
      <w:r w:rsidRPr="003C0D04">
        <w:rPr>
          <w:rFonts w:ascii="Arial" w:eastAsia="Times New Roman" w:hAnsi="Arial" w:cs="Arial"/>
          <w:color w:val="000000"/>
          <w:lang w:eastAsia="es-ES"/>
        </w:rPr>
        <w:t>32</w:t>
      </w:r>
      <w:bookmarkEnd w:id="32"/>
      <w:r w:rsidRPr="003C0D04">
        <w:rPr>
          <w:rFonts w:ascii="Arial" w:eastAsia="Times New Roman" w:hAnsi="Arial" w:cs="Arial"/>
          <w:color w:val="000000"/>
          <w:lang w:eastAsia="es-ES"/>
        </w:rPr>
        <w:t xml:space="preserve">      Habida cuenta de las anteriores consideraciones, el Tribunal de Justicia declaró que el artículo 6, apartado 1, de la Directiva 93/13 se opone a una norma de Derecho nacional que atribuye al juez nacional, cuando éste declara la nulidad de una cláusula abusiva contenida en un contrato celebrado entre un profesional y un consumidor, la facultad de integrar dicho contrato modificando el contenido de la cláusula abusiva (sentencias Banco Español de Crédito, EU:C:2012:349, apartado 73, y </w:t>
      </w:r>
      <w:proofErr w:type="spellStart"/>
      <w:r w:rsidRPr="003C0D04">
        <w:rPr>
          <w:rFonts w:ascii="Arial" w:eastAsia="Times New Roman" w:hAnsi="Arial" w:cs="Arial"/>
          <w:color w:val="000000"/>
          <w:lang w:eastAsia="es-ES"/>
        </w:rPr>
        <w:t>Kásler</w:t>
      </w:r>
      <w:proofErr w:type="spellEnd"/>
      <w:r w:rsidRPr="003C0D04">
        <w:rPr>
          <w:rFonts w:ascii="Arial" w:eastAsia="Times New Roman" w:hAnsi="Arial" w:cs="Arial"/>
          <w:color w:val="000000"/>
          <w:lang w:eastAsia="es-ES"/>
        </w:rPr>
        <w:t xml:space="preserve"> y </w:t>
      </w:r>
      <w:proofErr w:type="spellStart"/>
      <w:r w:rsidRPr="003C0D04">
        <w:rPr>
          <w:rFonts w:ascii="Arial" w:eastAsia="Times New Roman" w:hAnsi="Arial" w:cs="Arial"/>
          <w:color w:val="000000"/>
          <w:lang w:eastAsia="es-ES"/>
        </w:rPr>
        <w:t>Káslerné</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Rábai</w:t>
      </w:r>
      <w:proofErr w:type="spellEnd"/>
      <w:r w:rsidRPr="003C0D04">
        <w:rPr>
          <w:rFonts w:ascii="Arial" w:eastAsia="Times New Roman" w:hAnsi="Arial" w:cs="Arial"/>
          <w:color w:val="000000"/>
          <w:lang w:eastAsia="es-ES"/>
        </w:rPr>
        <w:t>, EU:C:2014:282, apartado 77).</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3" w:name="point33"/>
      <w:r w:rsidRPr="003C0D04">
        <w:rPr>
          <w:rFonts w:ascii="Arial" w:eastAsia="Times New Roman" w:hAnsi="Arial" w:cs="Arial"/>
          <w:color w:val="000000"/>
          <w:lang w:eastAsia="es-ES"/>
        </w:rPr>
        <w:t>33</w:t>
      </w:r>
      <w:bookmarkEnd w:id="33"/>
      <w:r w:rsidRPr="003C0D04">
        <w:rPr>
          <w:rFonts w:ascii="Arial" w:eastAsia="Times New Roman" w:hAnsi="Arial" w:cs="Arial"/>
          <w:color w:val="000000"/>
          <w:lang w:eastAsia="es-ES"/>
        </w:rPr>
        <w:t xml:space="preserve">      Es cierto que el Tribunal de Justicia también ha reconocido al juez nacional la facultad de sustituir una cláusula abusiva por una disposición supletoria de Derecho nacional, siempre que esta sustitución se ajuste al objetivo del artículo 6, apartado 1, de la Directiva 93/13 y permita restablecer un equilibrio real entre los derechos y las obligaciones de las partes del contrato. No obstante, esta posibilidad queda limitada a los supuestos en los que la declaración de la nulidad de la cláusula abusiva obligaría al juez a anular el contrato en su totalidad, quedando expuesto el consumidor de ese modo a consecuencias de tal índole que representaran para éste una penalización (véase, en este sentido, la sentencia, </w:t>
      </w:r>
      <w:proofErr w:type="spellStart"/>
      <w:r w:rsidRPr="003C0D04">
        <w:rPr>
          <w:rFonts w:ascii="Arial" w:eastAsia="Times New Roman" w:hAnsi="Arial" w:cs="Arial"/>
          <w:color w:val="000000"/>
          <w:lang w:eastAsia="es-ES"/>
        </w:rPr>
        <w:t>Kásler</w:t>
      </w:r>
      <w:proofErr w:type="spellEnd"/>
      <w:r w:rsidRPr="003C0D04">
        <w:rPr>
          <w:rFonts w:ascii="Arial" w:eastAsia="Times New Roman" w:hAnsi="Arial" w:cs="Arial"/>
          <w:color w:val="000000"/>
          <w:lang w:eastAsia="es-ES"/>
        </w:rPr>
        <w:t xml:space="preserve"> y </w:t>
      </w:r>
      <w:proofErr w:type="spellStart"/>
      <w:r w:rsidRPr="003C0D04">
        <w:rPr>
          <w:rFonts w:ascii="Arial" w:eastAsia="Times New Roman" w:hAnsi="Arial" w:cs="Arial"/>
          <w:color w:val="000000"/>
          <w:lang w:eastAsia="es-ES"/>
        </w:rPr>
        <w:t>Káslerné</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Rábai</w:t>
      </w:r>
      <w:proofErr w:type="spellEnd"/>
      <w:r w:rsidRPr="003C0D04">
        <w:rPr>
          <w:rFonts w:ascii="Arial" w:eastAsia="Times New Roman" w:hAnsi="Arial" w:cs="Arial"/>
          <w:color w:val="000000"/>
          <w:lang w:eastAsia="es-ES"/>
        </w:rPr>
        <w:t>, EU</w:t>
      </w:r>
      <w:proofErr w:type="gramStart"/>
      <w:r w:rsidRPr="003C0D04">
        <w:rPr>
          <w:rFonts w:ascii="Arial" w:eastAsia="Times New Roman" w:hAnsi="Arial" w:cs="Arial"/>
          <w:color w:val="000000"/>
          <w:lang w:eastAsia="es-ES"/>
        </w:rPr>
        <w:t>:C:2014:282</w:t>
      </w:r>
      <w:proofErr w:type="gramEnd"/>
      <w:r w:rsidRPr="003C0D04">
        <w:rPr>
          <w:rFonts w:ascii="Arial" w:eastAsia="Times New Roman" w:hAnsi="Arial" w:cs="Arial"/>
          <w:color w:val="000000"/>
          <w:lang w:eastAsia="es-ES"/>
        </w:rPr>
        <w:t>, apartados 82 a 84).</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4" w:name="point34"/>
      <w:r w:rsidRPr="003C0D04">
        <w:rPr>
          <w:rFonts w:ascii="Arial" w:eastAsia="Times New Roman" w:hAnsi="Arial" w:cs="Arial"/>
          <w:color w:val="000000"/>
          <w:lang w:eastAsia="es-ES"/>
        </w:rPr>
        <w:t>34</w:t>
      </w:r>
      <w:bookmarkEnd w:id="34"/>
      <w:r w:rsidRPr="003C0D04">
        <w:rPr>
          <w:rFonts w:ascii="Arial" w:eastAsia="Times New Roman" w:hAnsi="Arial" w:cs="Arial"/>
          <w:color w:val="000000"/>
          <w:lang w:eastAsia="es-ES"/>
        </w:rPr>
        <w:t>      No obstante, en los litigios principales, y sin perjuicio de las comprobaciones que a este respecto deba realizar el órgano jurisdiccional remitente, la anulación de las cláusulas contractuales en cuestión no puede acarrear consecuencias negativas para el consumidor, ya que los importes en relación con los cuales se iniciaron los procedimientos de ejecución hipotecaria serán necesariamente menores al no incrementarse con los intereses de demora previstos por dichas cláusulas.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5" w:name="point35"/>
      <w:r w:rsidRPr="003C0D04">
        <w:rPr>
          <w:rFonts w:ascii="Arial" w:eastAsia="Times New Roman" w:hAnsi="Arial" w:cs="Arial"/>
          <w:color w:val="000000"/>
          <w:lang w:eastAsia="es-ES"/>
        </w:rPr>
        <w:t>35</w:t>
      </w:r>
      <w:bookmarkEnd w:id="35"/>
      <w:r w:rsidRPr="003C0D04">
        <w:rPr>
          <w:rFonts w:ascii="Arial" w:eastAsia="Times New Roman" w:hAnsi="Arial" w:cs="Arial"/>
          <w:color w:val="000000"/>
          <w:lang w:eastAsia="es-ES"/>
        </w:rPr>
        <w:t xml:space="preserve">      Una vez recordados estos principios, debe señalarse que de las resoluciones de remisión resulta que la disposición transitoria segunda de la Ley 1/2013 establece una limitación de los intereses de demora respecto de los préstamos o los créditos destinados a la adquisición de la vivienda habitual y garantizados mediante hipotecas constituidas sobre la vivienda en cuestión. De este modo, se prevé que en los procedimientos de ejecución o venta extrajudicial iniciados y no concluidos a la entrada en vigor de dicha Ley —esto es, el 15 de mayo de 2013—, y en los que se haya fijado ya la cantidad por la que se solicita que se despache ejecución o la venta extrajudicial, tal cantidad deberá ser </w:t>
      </w:r>
      <w:proofErr w:type="spellStart"/>
      <w:r w:rsidRPr="003C0D04">
        <w:rPr>
          <w:rFonts w:ascii="Arial" w:eastAsia="Times New Roman" w:hAnsi="Arial" w:cs="Arial"/>
          <w:color w:val="000000"/>
          <w:lang w:eastAsia="es-ES"/>
        </w:rPr>
        <w:t>recalculada</w:t>
      </w:r>
      <w:proofErr w:type="spellEnd"/>
      <w:r w:rsidRPr="003C0D04">
        <w:rPr>
          <w:rFonts w:ascii="Arial" w:eastAsia="Times New Roman" w:hAnsi="Arial" w:cs="Arial"/>
          <w:color w:val="000000"/>
          <w:lang w:eastAsia="es-ES"/>
        </w:rPr>
        <w:t xml:space="preserve"> aplicando un interés de demora calculado a partir de un tipo no superior a tres veces el interés legal del dinero cuando el tipo de interés de demora fijado en el contrato de préstamo hipotecario exceda de ese límite.</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6" w:name="point36"/>
      <w:r w:rsidRPr="003C0D04">
        <w:rPr>
          <w:rFonts w:ascii="Arial" w:eastAsia="Times New Roman" w:hAnsi="Arial" w:cs="Arial"/>
          <w:color w:val="000000"/>
          <w:lang w:eastAsia="es-ES"/>
        </w:rPr>
        <w:t>36</w:t>
      </w:r>
      <w:bookmarkEnd w:id="36"/>
      <w:r w:rsidRPr="003C0D04">
        <w:rPr>
          <w:rFonts w:ascii="Arial" w:eastAsia="Times New Roman" w:hAnsi="Arial" w:cs="Arial"/>
          <w:color w:val="000000"/>
          <w:lang w:eastAsia="es-ES"/>
        </w:rPr>
        <w:t xml:space="preserve">      Tal como señalaron tanto el Gobierno español en sus escritos y en la vista, como el Abogado General en los puntos 38 y 39 de sus conclusiones, el ámbito de aplicación de la disposición transitoria segunda de la Ley 1/2013 comprende cualquier contrato de préstamo hipotecario y, de este modo, no coincide con el de la Directiva 93/13, la cual únicamente se refiere a las cláusulas abusivas en los contratos celebrados entre un profesional y un consumidor. De ello se sigue que la obligación de respetar el límite máximo del tipo de interés de demora equivalente a tres veces el interés legal del dinero, tal como la impuso el </w:t>
      </w:r>
      <w:r w:rsidRPr="003C0D04">
        <w:rPr>
          <w:rFonts w:ascii="Arial" w:eastAsia="Times New Roman" w:hAnsi="Arial" w:cs="Arial"/>
          <w:color w:val="000000"/>
          <w:lang w:eastAsia="es-ES"/>
        </w:rPr>
        <w:lastRenderedPageBreak/>
        <w:t>legislador, no prejuzga en absoluto la apreciación por parte del juez del carácter abusivo de una cláusula por la que se establecen intereses de demora.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7" w:name="point37"/>
      <w:r w:rsidRPr="003C0D04">
        <w:rPr>
          <w:rFonts w:ascii="Arial" w:eastAsia="Times New Roman" w:hAnsi="Arial" w:cs="Arial"/>
          <w:color w:val="000000"/>
          <w:lang w:eastAsia="es-ES"/>
        </w:rPr>
        <w:t>37</w:t>
      </w:r>
      <w:bookmarkEnd w:id="37"/>
      <w:r w:rsidRPr="003C0D04">
        <w:rPr>
          <w:rFonts w:ascii="Arial" w:eastAsia="Times New Roman" w:hAnsi="Arial" w:cs="Arial"/>
          <w:color w:val="000000"/>
          <w:lang w:eastAsia="es-ES"/>
        </w:rPr>
        <w:t xml:space="preserve">      En este contexto, debe recordarse que, con arreglo al artículo 4, apartado 1, de la Directiva 93/13, el carácter abusivo de una cláusula contractual se apreciará teniendo en cuenta la naturaleza de los bienes o servicios que sean objeto del contrato y considerando, en el momento de la celebración del mismo, todas las circunstancias que concurran en su celebración. De ello se desprende que, en esta perspectiva, deben apreciarse también las consecuencias que dicha cláusula puede tener en el marco del Derecho aplicable al contrato, lo que implica un examen del sistema jurídico nacional (véase el auto </w:t>
      </w:r>
      <w:proofErr w:type="spellStart"/>
      <w:r w:rsidRPr="003C0D04">
        <w:rPr>
          <w:rFonts w:ascii="Arial" w:eastAsia="Times New Roman" w:hAnsi="Arial" w:cs="Arial"/>
          <w:color w:val="000000"/>
          <w:lang w:eastAsia="es-ES"/>
        </w:rPr>
        <w:t>Sebestyén</w:t>
      </w:r>
      <w:proofErr w:type="spellEnd"/>
      <w:r w:rsidRPr="003C0D04">
        <w:rPr>
          <w:rFonts w:ascii="Arial" w:eastAsia="Times New Roman" w:hAnsi="Arial" w:cs="Arial"/>
          <w:color w:val="000000"/>
          <w:lang w:eastAsia="es-ES"/>
        </w:rPr>
        <w:t>, C</w:t>
      </w:r>
      <w:r w:rsidRPr="003C0D04">
        <w:rPr>
          <w:rFonts w:ascii="Arial" w:eastAsia="Times New Roman" w:hAnsi="Arial" w:cs="Arial"/>
          <w:color w:val="000000"/>
          <w:lang w:eastAsia="es-ES"/>
        </w:rPr>
        <w:noBreakHyphen/>
        <w:t>342/13, EU</w:t>
      </w:r>
      <w:proofErr w:type="gramStart"/>
      <w:r w:rsidRPr="003C0D04">
        <w:rPr>
          <w:rFonts w:ascii="Arial" w:eastAsia="Times New Roman" w:hAnsi="Arial" w:cs="Arial"/>
          <w:color w:val="000000"/>
          <w:lang w:eastAsia="es-ES"/>
        </w:rPr>
        <w:t>:C:2014:1857</w:t>
      </w:r>
      <w:proofErr w:type="gramEnd"/>
      <w:r w:rsidRPr="003C0D04">
        <w:rPr>
          <w:rFonts w:ascii="Arial" w:eastAsia="Times New Roman" w:hAnsi="Arial" w:cs="Arial"/>
          <w:color w:val="000000"/>
          <w:lang w:eastAsia="es-ES"/>
        </w:rPr>
        <w:t>, apartado 29 y jurisprudencia citada).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8" w:name="point38"/>
      <w:r w:rsidRPr="003C0D04">
        <w:rPr>
          <w:rFonts w:ascii="Arial" w:eastAsia="Times New Roman" w:hAnsi="Arial" w:cs="Arial"/>
          <w:color w:val="000000"/>
          <w:lang w:eastAsia="es-ES"/>
        </w:rPr>
        <w:t>38</w:t>
      </w:r>
      <w:bookmarkEnd w:id="38"/>
      <w:r w:rsidRPr="003C0D04">
        <w:rPr>
          <w:rFonts w:ascii="Arial" w:eastAsia="Times New Roman" w:hAnsi="Arial" w:cs="Arial"/>
          <w:color w:val="000000"/>
          <w:lang w:eastAsia="es-ES"/>
        </w:rPr>
        <w:t xml:space="preserve">      En este sentido hay que recordar, igualmente, que cuando un tribunal nacional conoce de un litigio entablado exclusivamente entre particulares, está obligado, al aplicar las normas del Derecho interno, a tomar en consideración todas las normas del Derecho nacional y a interpretarlas, en la medida de lo posible, a la luz de la letra y de la finalidad de la directiva aplicable en la materia para llegar a una solución conforme con el objetivo perseguido por ésta (sentencia </w:t>
      </w:r>
      <w:proofErr w:type="spellStart"/>
      <w:r w:rsidRPr="003C0D04">
        <w:rPr>
          <w:rFonts w:ascii="Arial" w:eastAsia="Times New Roman" w:hAnsi="Arial" w:cs="Arial"/>
          <w:color w:val="000000"/>
          <w:lang w:eastAsia="es-ES"/>
        </w:rPr>
        <w:t>Kásler</w:t>
      </w:r>
      <w:proofErr w:type="spellEnd"/>
      <w:r w:rsidRPr="003C0D04">
        <w:rPr>
          <w:rFonts w:ascii="Arial" w:eastAsia="Times New Roman" w:hAnsi="Arial" w:cs="Arial"/>
          <w:color w:val="000000"/>
          <w:lang w:eastAsia="es-ES"/>
        </w:rPr>
        <w:t xml:space="preserve"> y </w:t>
      </w:r>
      <w:proofErr w:type="spellStart"/>
      <w:r w:rsidRPr="003C0D04">
        <w:rPr>
          <w:rFonts w:ascii="Arial" w:eastAsia="Times New Roman" w:hAnsi="Arial" w:cs="Arial"/>
          <w:color w:val="000000"/>
          <w:lang w:eastAsia="es-ES"/>
        </w:rPr>
        <w:t>Káslerné</w:t>
      </w:r>
      <w:proofErr w:type="spellEnd"/>
      <w:r w:rsidRPr="003C0D04">
        <w:rPr>
          <w:rFonts w:ascii="Arial" w:eastAsia="Times New Roman" w:hAnsi="Arial" w:cs="Arial"/>
          <w:color w:val="000000"/>
          <w:lang w:eastAsia="es-ES"/>
        </w:rPr>
        <w:t xml:space="preserve"> </w:t>
      </w:r>
      <w:proofErr w:type="spellStart"/>
      <w:r w:rsidRPr="003C0D04">
        <w:rPr>
          <w:rFonts w:ascii="Arial" w:eastAsia="Times New Roman" w:hAnsi="Arial" w:cs="Arial"/>
          <w:color w:val="000000"/>
          <w:lang w:eastAsia="es-ES"/>
        </w:rPr>
        <w:t>Rábai</w:t>
      </w:r>
      <w:proofErr w:type="spellEnd"/>
      <w:r w:rsidRPr="003C0D04">
        <w:rPr>
          <w:rFonts w:ascii="Arial" w:eastAsia="Times New Roman" w:hAnsi="Arial" w:cs="Arial"/>
          <w:color w:val="000000"/>
          <w:lang w:eastAsia="es-ES"/>
        </w:rPr>
        <w:t>, EU:C:2014:282, apartado 64).</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39" w:name="point39"/>
      <w:r w:rsidRPr="003C0D04">
        <w:rPr>
          <w:rFonts w:ascii="Arial" w:eastAsia="Times New Roman" w:hAnsi="Arial" w:cs="Arial"/>
          <w:color w:val="000000"/>
          <w:lang w:eastAsia="es-ES"/>
        </w:rPr>
        <w:t>39</w:t>
      </w:r>
      <w:bookmarkEnd w:id="39"/>
      <w:r w:rsidRPr="003C0D04">
        <w:rPr>
          <w:rFonts w:ascii="Arial" w:eastAsia="Times New Roman" w:hAnsi="Arial" w:cs="Arial"/>
          <w:color w:val="000000"/>
          <w:lang w:eastAsia="es-ES"/>
        </w:rPr>
        <w:t>      Por lo tanto, es preciso considerar que, en la medida en que la disposición transitoria segunda de la Ley 1/2013 no impide que el juez nacional pueda, en presencia de una cláusula abusiva, ejercer sus competencias y excluir la aplicación de dicha cláusula, la Directiva 93/13 no se opone a la aplicación de tal disposición nacional.</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40" w:name="point40"/>
      <w:r w:rsidRPr="003C0D04">
        <w:rPr>
          <w:rFonts w:ascii="Arial" w:eastAsia="Times New Roman" w:hAnsi="Arial" w:cs="Arial"/>
          <w:color w:val="000000"/>
          <w:lang w:eastAsia="es-ES"/>
        </w:rPr>
        <w:t>40</w:t>
      </w:r>
      <w:bookmarkEnd w:id="40"/>
      <w:r w:rsidRPr="003C0D04">
        <w:rPr>
          <w:rFonts w:ascii="Arial" w:eastAsia="Times New Roman" w:hAnsi="Arial" w:cs="Arial"/>
          <w:color w:val="000000"/>
          <w:lang w:eastAsia="es-ES"/>
        </w:rPr>
        <w:t>      Ello implica en particular, por una parte, que cuando el juez nacional debe examinar una cláusula de un contrato relativa a intereses de demora calculados a partir de un tipo inferior al previsto por la disposición transitoria segunda de la Ley 1/2013, la fijación por ley de ese límite máximo no impide a dicho juez apreciar el carácter eventualmente abusivo de tal cláusula en el sentido del artículo 3 de la Directiva 93/13. De este modo, no cabe considerar que un tipo de interés de demora inferior a tres veces el interés legal del dinero sea necesariamente equitativo en el sentido de la mencionada Directiva.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41" w:name="point41"/>
      <w:r w:rsidRPr="003C0D04">
        <w:rPr>
          <w:rFonts w:ascii="Arial" w:eastAsia="Times New Roman" w:hAnsi="Arial" w:cs="Arial"/>
          <w:color w:val="000000"/>
          <w:lang w:eastAsia="es-ES"/>
        </w:rPr>
        <w:t>41</w:t>
      </w:r>
      <w:bookmarkEnd w:id="41"/>
      <w:r w:rsidRPr="003C0D04">
        <w:rPr>
          <w:rFonts w:ascii="Arial" w:eastAsia="Times New Roman" w:hAnsi="Arial" w:cs="Arial"/>
          <w:color w:val="000000"/>
          <w:lang w:eastAsia="es-ES"/>
        </w:rPr>
        <w:t>      Por otra parte, en el supuesto de que el tipo de interés de demora estipulado en una cláusula de un contrato de préstamo hipotecario sea superior al establecido en la disposición transitoria segunda de la Ley 1/2013 y deba ser objeto de limitación en virtud de esa disposición, tal circunstancia no es óbice para que el juez nacional pueda, además de aplicar esa medida moderadora, extraer del eventual carácter abusivo de la cláusula en la que se establece ese tipo de interés todas las consecuencias que se derivan de la Directiva 93/13, procediendo, en su caso, a la anulación de dicha cláusula.</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42" w:name="point42"/>
      <w:r w:rsidRPr="003C0D04">
        <w:rPr>
          <w:rFonts w:ascii="Arial" w:eastAsia="Times New Roman" w:hAnsi="Arial" w:cs="Arial"/>
          <w:color w:val="000000"/>
          <w:lang w:eastAsia="es-ES"/>
        </w:rPr>
        <w:t>42</w:t>
      </w:r>
      <w:bookmarkEnd w:id="42"/>
      <w:r w:rsidRPr="003C0D04">
        <w:rPr>
          <w:rFonts w:ascii="Arial" w:eastAsia="Times New Roman" w:hAnsi="Arial" w:cs="Arial"/>
          <w:color w:val="000000"/>
          <w:lang w:eastAsia="es-ES"/>
        </w:rPr>
        <w:t xml:space="preserve">      Por consiguiente, del conjunto de las anteriores consideraciones resulta que el artículo 6, apartado 1, de la Directiva 93/13 debe interpretarse en el sentido de que no se opone a una disposición nacional con arreglo a la cual el juez nacional que conoce de un procedimiento de ejecución hipotecaria está obligado a hacer que se </w:t>
      </w:r>
      <w:proofErr w:type="spellStart"/>
      <w:r w:rsidRPr="003C0D04">
        <w:rPr>
          <w:rFonts w:ascii="Arial" w:eastAsia="Times New Roman" w:hAnsi="Arial" w:cs="Arial"/>
          <w:color w:val="000000"/>
          <w:lang w:eastAsia="es-ES"/>
        </w:rPr>
        <w:t>recalculen</w:t>
      </w:r>
      <w:proofErr w:type="spellEnd"/>
      <w:r w:rsidRPr="003C0D04">
        <w:rPr>
          <w:rFonts w:ascii="Arial" w:eastAsia="Times New Roman" w:hAnsi="Arial" w:cs="Arial"/>
          <w:color w:val="000000"/>
          <w:lang w:eastAsia="es-ES"/>
        </w:rPr>
        <w:t xml:space="preserve"> las cantidades debidas en virtud de la cláusula de un contrato de préstamo hipotecario que fija intereses de demora calculados a partir de un tipo superior a tres veces el interés legal del dinero con el fin de que el importe de dichos intereses no rebase ese límite, siempre que la aplicación de la disposición nacional:</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lastRenderedPageBreak/>
        <w:t>—        no prejuzgue la apreciación por parte de dicho juez nacional del carácter abusivo de tal cláusula y</w:t>
      </w:r>
    </w:p>
    <w:p w:rsidR="003C0D04" w:rsidRPr="003C0D04" w:rsidRDefault="003C0D04" w:rsidP="003C0D04">
      <w:pPr>
        <w:spacing w:before="100" w:beforeAutospacing="1" w:after="240" w:line="240" w:lineRule="auto"/>
        <w:ind w:left="1134" w:hanging="567"/>
        <w:jc w:val="both"/>
        <w:rPr>
          <w:rFonts w:ascii="Arial" w:eastAsia="Times New Roman" w:hAnsi="Arial" w:cs="Arial"/>
          <w:color w:val="000000"/>
          <w:lang w:eastAsia="es-ES"/>
        </w:rPr>
      </w:pPr>
      <w:r w:rsidRPr="003C0D04">
        <w:rPr>
          <w:rFonts w:ascii="Arial" w:eastAsia="Times New Roman" w:hAnsi="Arial" w:cs="Arial"/>
          <w:color w:val="000000"/>
          <w:lang w:eastAsia="es-ES"/>
        </w:rPr>
        <w:t>—        no impida que ese mismo juez deje sin aplicar la cláusula en cuestión en caso de que aprecie que es «abusiva» en el sentido del artículo 3, apartado 1, de la citada Directiva.</w:t>
      </w:r>
    </w:p>
    <w:p w:rsidR="003C0D04" w:rsidRPr="003C0D04" w:rsidRDefault="003C0D04" w:rsidP="003C0D04">
      <w:pPr>
        <w:spacing w:before="480" w:after="240" w:line="240" w:lineRule="auto"/>
        <w:ind w:left="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Costas</w:t>
      </w:r>
    </w:p>
    <w:p w:rsidR="003C0D04" w:rsidRPr="003C0D04" w:rsidRDefault="003C0D04" w:rsidP="003C0D04">
      <w:pPr>
        <w:spacing w:before="100" w:beforeAutospacing="1" w:after="240" w:line="240" w:lineRule="auto"/>
        <w:ind w:left="567" w:hanging="539"/>
        <w:jc w:val="both"/>
        <w:rPr>
          <w:rFonts w:ascii="Arial" w:eastAsia="Times New Roman" w:hAnsi="Arial" w:cs="Arial"/>
          <w:color w:val="000000"/>
          <w:lang w:eastAsia="es-ES"/>
        </w:rPr>
      </w:pPr>
      <w:bookmarkStart w:id="43" w:name="point43"/>
      <w:r w:rsidRPr="003C0D04">
        <w:rPr>
          <w:rFonts w:ascii="Arial" w:eastAsia="Times New Roman" w:hAnsi="Arial" w:cs="Arial"/>
          <w:color w:val="000000"/>
          <w:lang w:eastAsia="es-ES"/>
        </w:rPr>
        <w:t>43</w:t>
      </w:r>
      <w:bookmarkEnd w:id="43"/>
      <w:r w:rsidRPr="003C0D04">
        <w:rPr>
          <w:rFonts w:ascii="Arial" w:eastAsia="Times New Roman" w:hAnsi="Arial" w:cs="Arial"/>
          <w:color w:val="000000"/>
          <w:lang w:eastAsia="es-ES"/>
        </w:rPr>
        <w:t>      Dado que el procedimiento tiene, para las partes del litigio principal, el carácter de un incidente promovido ante el órgano jurisdiccional nacional, corresponde a éste resolver sobre las costas. Los gastos efectuados al presentar observaciones ante el Tribunal de Justicia, distintos de aquellos en que hayan incurrido dichas partes, no pueden ser objeto de reembolso.</w:t>
      </w:r>
    </w:p>
    <w:p w:rsidR="003C0D04" w:rsidRPr="003C0D04" w:rsidRDefault="003C0D04" w:rsidP="003C0D04">
      <w:pPr>
        <w:spacing w:before="480" w:after="24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En virtud de todo lo expuesto, el Tribunal de Justicia (Sala Primera) declara:</w:t>
      </w:r>
    </w:p>
    <w:p w:rsidR="003C0D04" w:rsidRPr="003C0D04" w:rsidRDefault="003C0D04" w:rsidP="003C0D04">
      <w:pPr>
        <w:spacing w:after="240" w:line="240" w:lineRule="auto"/>
        <w:ind w:left="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xml:space="preserve">El artículo 6, apartado 1, de la Directiva 93/13/CEE del Consejo, de 5 de abril de 1993, sobre las cláusulas abusivas en los contratos celebrados con consumidores, debe interpretarse en el sentido de que no se opone a una disposición nacional con arreglo a la cual el juez nacional que conoce de un procedimiento de ejecución hipotecaria está obligado a hacer que se </w:t>
      </w:r>
      <w:proofErr w:type="spellStart"/>
      <w:r w:rsidRPr="003C0D04">
        <w:rPr>
          <w:rFonts w:ascii="Arial" w:eastAsia="Times New Roman" w:hAnsi="Arial" w:cs="Arial"/>
          <w:b/>
          <w:bCs/>
          <w:color w:val="000000"/>
          <w:lang w:eastAsia="es-ES"/>
        </w:rPr>
        <w:t>recalculen</w:t>
      </w:r>
      <w:proofErr w:type="spellEnd"/>
      <w:r w:rsidRPr="003C0D04">
        <w:rPr>
          <w:rFonts w:ascii="Arial" w:eastAsia="Times New Roman" w:hAnsi="Arial" w:cs="Arial"/>
          <w:b/>
          <w:bCs/>
          <w:color w:val="000000"/>
          <w:lang w:eastAsia="es-ES"/>
        </w:rPr>
        <w:t xml:space="preserve"> las cantidades debidas en virtud de la cláusula de un contrato de préstamo hipotecario que fija intereses de demora calculados a partir de un tipo superior a tres veces el interés legal del dinero con el fin de que el importe de dichos intereses no rebase ese límite, siempre que la aplicación de la disposición nacional:</w:t>
      </w:r>
    </w:p>
    <w:p w:rsidR="003C0D04" w:rsidRPr="003C0D04" w:rsidRDefault="003C0D04" w:rsidP="003C0D04">
      <w:pPr>
        <w:spacing w:before="100" w:beforeAutospacing="1" w:after="240" w:line="240" w:lineRule="auto"/>
        <w:ind w:left="1134" w:hanging="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no prejuzgue la apreciación por parte de dicho juez nacional del carácter abusivo de tal cláusula y</w:t>
      </w:r>
    </w:p>
    <w:p w:rsidR="003C0D04" w:rsidRPr="003C0D04" w:rsidRDefault="003C0D04" w:rsidP="003C0D04">
      <w:pPr>
        <w:spacing w:before="100" w:beforeAutospacing="1" w:after="240" w:line="240" w:lineRule="auto"/>
        <w:ind w:left="1134" w:hanging="567"/>
        <w:jc w:val="both"/>
        <w:rPr>
          <w:rFonts w:ascii="Arial" w:eastAsia="Times New Roman" w:hAnsi="Arial" w:cs="Arial"/>
          <w:b/>
          <w:bCs/>
          <w:color w:val="000000"/>
          <w:lang w:eastAsia="es-ES"/>
        </w:rPr>
      </w:pPr>
      <w:r w:rsidRPr="003C0D04">
        <w:rPr>
          <w:rFonts w:ascii="Arial" w:eastAsia="Times New Roman" w:hAnsi="Arial" w:cs="Arial"/>
          <w:b/>
          <w:bCs/>
          <w:color w:val="000000"/>
          <w:lang w:eastAsia="es-ES"/>
        </w:rPr>
        <w:t>—        no impida que ese mismo juez deje sin aplicar la cláusula en cuestión en caso de que aprecie que es «abusiva» en el sentido del artículo 3, apartado 1, de la citada Directiva.</w:t>
      </w:r>
    </w:p>
    <w:p w:rsidR="003C0D04" w:rsidRPr="003C0D04" w:rsidRDefault="003C0D04" w:rsidP="003C0D04">
      <w:pPr>
        <w:spacing w:after="1200" w:line="240" w:lineRule="auto"/>
        <w:ind w:left="567"/>
        <w:jc w:val="both"/>
        <w:rPr>
          <w:rFonts w:ascii="Arial" w:eastAsia="Times New Roman" w:hAnsi="Arial" w:cs="Arial"/>
          <w:color w:val="000000"/>
          <w:lang w:eastAsia="es-ES"/>
        </w:rPr>
      </w:pPr>
      <w:r w:rsidRPr="003C0D04">
        <w:rPr>
          <w:rFonts w:ascii="Arial" w:eastAsia="Times New Roman" w:hAnsi="Arial" w:cs="Arial"/>
          <w:color w:val="000000"/>
          <w:lang w:eastAsia="es-ES"/>
        </w:rPr>
        <w:t>Firmas</w:t>
      </w:r>
    </w:p>
    <w:p w:rsidR="003C0D04" w:rsidRPr="003C0D04" w:rsidRDefault="003C0D04" w:rsidP="003C0D04">
      <w:pPr>
        <w:spacing w:after="0" w:line="240" w:lineRule="auto"/>
        <w:rPr>
          <w:rFonts w:ascii="Times New Roman" w:eastAsia="Times New Roman" w:hAnsi="Times New Roman" w:cs="Times New Roman"/>
          <w:sz w:val="24"/>
          <w:szCs w:val="24"/>
          <w:lang w:eastAsia="es-ES"/>
        </w:rPr>
      </w:pPr>
      <w:r w:rsidRPr="003C0D04">
        <w:rPr>
          <w:rFonts w:ascii="Times New Roman" w:eastAsia="Times New Roman" w:hAnsi="Times New Roman" w:cs="Times New Roman"/>
          <w:sz w:val="24"/>
          <w:szCs w:val="24"/>
          <w:lang w:eastAsia="es-ES"/>
        </w:rPr>
        <w:pict>
          <v:rect id="_x0000_i1025" style="width:0;height:1.5pt" o:hralign="center" o:hrstd="t" o:hrnoshade="t" o:hr="t" fillcolor="black" stroked="f"/>
        </w:pict>
      </w:r>
    </w:p>
    <w:bookmarkStart w:id="44" w:name="Footnote*"/>
    <w:p w:rsidR="003C0D04" w:rsidRPr="003C0D04" w:rsidRDefault="003C0D04" w:rsidP="003C0D04">
      <w:pPr>
        <w:spacing w:after="0" w:line="240" w:lineRule="auto"/>
        <w:ind w:left="567"/>
        <w:rPr>
          <w:rFonts w:ascii="Arial" w:eastAsia="Times New Roman" w:hAnsi="Arial" w:cs="Arial"/>
          <w:color w:val="000000"/>
          <w:sz w:val="15"/>
          <w:szCs w:val="15"/>
          <w:lang w:eastAsia="es-ES"/>
        </w:rPr>
      </w:pPr>
      <w:r w:rsidRPr="003C0D04">
        <w:rPr>
          <w:rFonts w:ascii="Arial" w:eastAsia="Times New Roman" w:hAnsi="Arial" w:cs="Arial"/>
          <w:color w:val="000000"/>
          <w:sz w:val="15"/>
          <w:szCs w:val="15"/>
          <w:lang w:eastAsia="es-ES"/>
        </w:rPr>
        <w:fldChar w:fldCharType="begin"/>
      </w:r>
      <w:r w:rsidRPr="003C0D04">
        <w:rPr>
          <w:rFonts w:ascii="Arial" w:eastAsia="Times New Roman" w:hAnsi="Arial" w:cs="Arial"/>
          <w:color w:val="000000"/>
          <w:sz w:val="15"/>
          <w:szCs w:val="15"/>
          <w:lang w:eastAsia="es-ES"/>
        </w:rPr>
        <w:instrText xml:space="preserve"> HYPERLINK "http://eur-lex.europa.eu/legal-content/ES/TXT/HTML/?uri=CELEX:62013CJ0482&amp;from=ES" \l "Footref*" </w:instrText>
      </w:r>
      <w:r w:rsidRPr="003C0D04">
        <w:rPr>
          <w:rFonts w:ascii="Arial" w:eastAsia="Times New Roman" w:hAnsi="Arial" w:cs="Arial"/>
          <w:color w:val="000000"/>
          <w:sz w:val="15"/>
          <w:szCs w:val="15"/>
          <w:lang w:eastAsia="es-ES"/>
        </w:rPr>
        <w:fldChar w:fldCharType="separate"/>
      </w:r>
      <w:r w:rsidRPr="003C0D04">
        <w:rPr>
          <w:rFonts w:ascii="Arial" w:eastAsia="Times New Roman" w:hAnsi="Arial" w:cs="Arial"/>
          <w:color w:val="0000FF"/>
          <w:sz w:val="15"/>
          <w:u w:val="single"/>
          <w:lang w:eastAsia="es-ES"/>
        </w:rPr>
        <w:t>*</w:t>
      </w:r>
      <w:r w:rsidRPr="003C0D04">
        <w:rPr>
          <w:rFonts w:ascii="Arial" w:eastAsia="Times New Roman" w:hAnsi="Arial" w:cs="Arial"/>
          <w:color w:val="000000"/>
          <w:sz w:val="15"/>
          <w:szCs w:val="15"/>
          <w:lang w:eastAsia="es-ES"/>
        </w:rPr>
        <w:fldChar w:fldCharType="end"/>
      </w:r>
      <w:bookmarkEnd w:id="44"/>
      <w:r w:rsidRPr="003C0D04">
        <w:rPr>
          <w:rFonts w:ascii="Arial" w:eastAsia="Times New Roman" w:hAnsi="Arial" w:cs="Arial"/>
          <w:color w:val="000000"/>
          <w:sz w:val="15"/>
          <w:vertAlign w:val="superscript"/>
          <w:lang w:eastAsia="es-ES"/>
        </w:rPr>
        <w:t> </w:t>
      </w:r>
      <w:r w:rsidRPr="003C0D04">
        <w:rPr>
          <w:rFonts w:ascii="Arial" w:eastAsia="Times New Roman" w:hAnsi="Arial" w:cs="Arial"/>
          <w:color w:val="000000"/>
          <w:sz w:val="15"/>
          <w:szCs w:val="15"/>
          <w:vertAlign w:val="superscript"/>
          <w:lang w:eastAsia="es-ES"/>
        </w:rPr>
        <w:t>Lengua de procedimiento: español.</w:t>
      </w:r>
    </w:p>
    <w:p w:rsidR="00F94088" w:rsidRDefault="00F94088"/>
    <w:sectPr w:rsidR="00F94088" w:rsidSect="00F9408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proofState w:spelling="clean" w:grammar="clean"/>
  <w:defaultTabStop w:val="708"/>
  <w:hyphenationZone w:val="425"/>
  <w:characterSpacingControl w:val="doNotCompress"/>
  <w:compat/>
  <w:rsids>
    <w:rsidRoot w:val="003C0D04"/>
    <w:rsid w:val="003C0D04"/>
    <w:rsid w:val="00F9408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08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19centre">
    <w:name w:val="c19centre"/>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3C0D04"/>
    <w:rPr>
      <w:color w:val="0000FF"/>
      <w:u w:val="single"/>
    </w:rPr>
  </w:style>
  <w:style w:type="paragraph" w:customStyle="1" w:styleId="c71indicateur">
    <w:name w:val="c71indicateur"/>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2alineaalta">
    <w:name w:val="c02alineaalta"/>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3C0D04"/>
  </w:style>
  <w:style w:type="paragraph" w:customStyle="1" w:styleId="c03tiretlong">
    <w:name w:val="c03tiretlong"/>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75debutdesmotifs">
    <w:name w:val="c75debutdesmotifs"/>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1pointnumerotealtn">
    <w:name w:val="c01pointnumerotealtn"/>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4titre1">
    <w:name w:val="c04titre1"/>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5titre2">
    <w:name w:val="c05titre2"/>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9marge0avecretrait">
    <w:name w:val="c09marge0avecretrait"/>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41dispositifintroduction">
    <w:name w:val="c41dispositifintroduction"/>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30dispositifalinea">
    <w:name w:val="c30dispositifalinea"/>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31dispositiftiretlong">
    <w:name w:val="c31dispositiftiretlong"/>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77signatures">
    <w:name w:val="c77signatures"/>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42footnotelangue">
    <w:name w:val="c42footnotelangue"/>
    <w:basedOn w:val="Normal"/>
    <w:rsid w:val="003C0D04"/>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78403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4378</Words>
  <Characters>24084</Characters>
  <Application>Microsoft Office Word</Application>
  <DocSecurity>0</DocSecurity>
  <Lines>200</Lines>
  <Paragraphs>56</Paragraphs>
  <ScaleCrop>false</ScaleCrop>
  <Company/>
  <LinksUpToDate>false</LinksUpToDate>
  <CharactersWithSpaces>28406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Antonio</dc:creator>
  <cp:lastModifiedBy>Jose Antonio</cp:lastModifiedBy>
  <cp:revision>2</cp:revision>
  <dcterms:created xsi:type="dcterms:W3CDTF">2015-01-25T16:42:00Z</dcterms:created>
  <dcterms:modified xsi:type="dcterms:W3CDTF">2015-01-25T16:45:00Z</dcterms:modified>
</cp:coreProperties>
</file>