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350" w:rsidRPr="007805B9" w:rsidRDefault="00086350" w:rsidP="00086350">
      <w:pPr>
        <w:autoSpaceDE w:val="0"/>
        <w:autoSpaceDN w:val="0"/>
        <w:adjustRightInd w:val="0"/>
        <w:jc w:val="center"/>
      </w:pPr>
      <w:r w:rsidRPr="007805B9">
        <w:rPr>
          <w:b/>
          <w:bCs/>
          <w:u w:val="single"/>
        </w:rPr>
        <w:t>FUNDAMENTOS DE DERECHO</w:t>
      </w:r>
    </w:p>
    <w:p w:rsidR="00086350" w:rsidRPr="007805B9" w:rsidRDefault="00086350" w:rsidP="00086350">
      <w:pPr>
        <w:autoSpaceDE w:val="0"/>
        <w:autoSpaceDN w:val="0"/>
        <w:adjustRightInd w:val="0"/>
        <w:jc w:val="center"/>
      </w:pPr>
    </w:p>
    <w:p w:rsidR="00086350" w:rsidRPr="007805B9" w:rsidRDefault="00086350" w:rsidP="00086350">
      <w:pPr>
        <w:autoSpaceDE w:val="0"/>
        <w:autoSpaceDN w:val="0"/>
        <w:adjustRightInd w:val="0"/>
        <w:jc w:val="center"/>
      </w:pPr>
    </w:p>
    <w:p w:rsidR="00086350" w:rsidRPr="007805B9" w:rsidRDefault="00086350" w:rsidP="00086350">
      <w:pPr>
        <w:autoSpaceDE w:val="0"/>
        <w:autoSpaceDN w:val="0"/>
        <w:adjustRightInd w:val="0"/>
        <w:jc w:val="both"/>
      </w:pPr>
      <w:r w:rsidRPr="007805B9">
        <w:rPr>
          <w:b/>
          <w:bCs/>
        </w:rPr>
        <w:t>Primero.-</w:t>
      </w:r>
      <w:r w:rsidRPr="007805B9">
        <w:t xml:space="preserve"> Dispone el artículo 35.2 párrafo segundo de la L.E.C., que si los honorarios reclamados por el abogado fuesen impugnados por indebidos, se aplicará lo dispuesto en el artículo 34.2 de la misma ley, procediendo el secretario judicial previo examen de la minuta y de las actuaciones procesales, así como de la documentación </w:t>
      </w:r>
      <w:proofErr w:type="spellStart"/>
      <w:r w:rsidRPr="007805B9">
        <w:t>aportada,a</w:t>
      </w:r>
      <w:proofErr w:type="spellEnd"/>
      <w:r w:rsidRPr="007805B9">
        <w:t xml:space="preserve"> dictar en el plazo de diez días, decreto determinando la cantidad que haya de satisfacerse al abogado,  bajo apercibimiento de apremio si no se efectuase el pago dentro de los cinco días siguientes a la notificación.</w:t>
      </w:r>
    </w:p>
    <w:p w:rsidR="00086350" w:rsidRPr="007805B9" w:rsidRDefault="00086350" w:rsidP="00086350">
      <w:pPr>
        <w:autoSpaceDE w:val="0"/>
        <w:autoSpaceDN w:val="0"/>
        <w:adjustRightInd w:val="0"/>
        <w:jc w:val="both"/>
      </w:pPr>
    </w:p>
    <w:p w:rsidR="00086350" w:rsidRDefault="00086350" w:rsidP="00086350">
      <w:pPr>
        <w:autoSpaceDE w:val="0"/>
        <w:autoSpaceDN w:val="0"/>
        <w:adjustRightInd w:val="0"/>
        <w:jc w:val="both"/>
      </w:pPr>
      <w:r w:rsidRPr="007805B9">
        <w:rPr>
          <w:b/>
          <w:bCs/>
        </w:rPr>
        <w:t xml:space="preserve">Segundo.- </w:t>
      </w:r>
      <w:r>
        <w:rPr>
          <w:b/>
          <w:bCs/>
        </w:rPr>
        <w:t xml:space="preserve"> </w:t>
      </w:r>
      <w:r>
        <w:t xml:space="preserve">Hemos de partir de la base que la legitimación de las partes para intervenir en un proceso ha de ser examinada de oficio, siendo un requisito de </w:t>
      </w:r>
      <w:proofErr w:type="spellStart"/>
      <w:r>
        <w:t>procedibilidad</w:t>
      </w:r>
      <w:proofErr w:type="spellEnd"/>
      <w:r>
        <w:t xml:space="preserve"> introducido por la jurisprudencia constitucional en la STC 110/1993.</w:t>
      </w: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r>
        <w:t xml:space="preserve"> El procedimiento de jura de cuentas, que es un procedimiento con entidad propia y no un mero incidente del proceso principal, podrá ser iniciado,  exclusivamente,  por el procurador  que desempeñó la representación procesal de su cliente, conferida en cualquier forma admitida en derecho y que reclama sus derechos ante su cliente o por el letrado que pueda acreditar algún trabajo en los autos de referencia, bien porque haya intervenido personalmente en actuaciones judiciales, o por haber encabezado y firmado los escritos presentados.</w:t>
      </w: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r>
        <w:rPr>
          <w:b/>
          <w:bCs/>
        </w:rPr>
        <w:t>Tercero.</w:t>
      </w:r>
      <w:r>
        <w:t>- Examinada la minuta que reclama la letrada actora en relación con el procedimiento</w:t>
      </w:r>
      <w:r>
        <w:tab/>
        <w:t xml:space="preserve"> seguido en este Juzgado como ORD. 398/06,  se aprecia, con total claridad, que ninguno de los escritos a los que hace referencia </w:t>
      </w:r>
      <w:proofErr w:type="spellStart"/>
      <w:r>
        <w:t>la</w:t>
      </w:r>
      <w:proofErr w:type="spellEnd"/>
      <w:r>
        <w:t xml:space="preserve"> reclamante, van encabezados con su nombre ni aparece éste bajo la rúbrica obrante al pie del escrito. Tampoco resulta acreditado trabajo alguno por haber intervenido personalmente en las actuaciones judiciales ni que haya sido designada por el cliente.</w:t>
      </w: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r>
        <w:t>El escrito de contestación a la demanda está encabezado con el nombre de otro letrado que aparece también al lado de la rúbrica final y que es el que asistió al acto del juicio.</w:t>
      </w: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r>
        <w:t>Así pues, a la vista de lo expuesto, resulta una clara falta de legitimación activa de la letrada para entablar la presente jura de cuentas.</w:t>
      </w:r>
    </w:p>
    <w:p w:rsidR="00086350" w:rsidRDefault="00086350" w:rsidP="00086350">
      <w:pPr>
        <w:autoSpaceDE w:val="0"/>
        <w:autoSpaceDN w:val="0"/>
        <w:adjustRightInd w:val="0"/>
        <w:jc w:val="both"/>
      </w:pPr>
      <w:r>
        <w:t xml:space="preserve"> </w:t>
      </w:r>
    </w:p>
    <w:p w:rsidR="00086350" w:rsidRDefault="00086350" w:rsidP="00086350">
      <w:pPr>
        <w:autoSpaceDE w:val="0"/>
        <w:autoSpaceDN w:val="0"/>
        <w:adjustRightInd w:val="0"/>
        <w:jc w:val="both"/>
      </w:pPr>
      <w:r w:rsidRPr="001A56C8">
        <w:rPr>
          <w:b/>
          <w:bCs/>
        </w:rPr>
        <w:t>Cuarto.</w:t>
      </w:r>
      <w:r>
        <w:t xml:space="preserve">-Por último hay que tener en cuenta que la actora actúa en nombre de  la </w:t>
      </w:r>
      <w:proofErr w:type="gramStart"/>
      <w:r>
        <w:t>entidad  ,</w:t>
      </w:r>
      <w:proofErr w:type="gramEnd"/>
      <w:r>
        <w:t xml:space="preserve"> S.L. despacho colectivo, del que parece ser socio el letrado que sí actuó en el procedimiento del que dimana la presente JURA .</w:t>
      </w: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r>
        <w:t xml:space="preserve">Lo cierto es que el ámbito del procedimiento de jura de cuentas de los arts. 34 y 35 LEC,  es muy limitado, pues estamos ante procedimientos con una serie de ventajas como </w:t>
      </w:r>
      <w:r>
        <w:lastRenderedPageBreak/>
        <w:t>es la tutela abreviada y sumaria frente a los procedimientos ordinarios y además hay que tener en cuenta que la actitud pasiva del deudor llevará al despacho de la ejecución.</w:t>
      </w: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r>
        <w:t xml:space="preserve">Así pues, excediendo tales cuestiones de lo que constituye su tutela privilegiada, y, disponiendo la parte de otros procedimientos como es el declarativo que corresponda por la cuantía donde se ofrecen mayores garantías por su fase de alegaciones y de prueba o, incluso el monitorio acompañando la correspondiente minuta, no resulta procedente, en este caso, el procedimiento de jura de cuentas. </w:t>
      </w: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p>
    <w:p w:rsidR="00086350" w:rsidRDefault="00086350" w:rsidP="00086350">
      <w:pPr>
        <w:autoSpaceDE w:val="0"/>
        <w:autoSpaceDN w:val="0"/>
        <w:adjustRightInd w:val="0"/>
        <w:jc w:val="both"/>
      </w:pPr>
      <w:r>
        <w:t>Por todo lo cual, procede, estimar la impugnación formulada de contrario y desestimar la  petición inicial.</w:t>
      </w:r>
    </w:p>
    <w:p w:rsidR="00086350" w:rsidRDefault="00086350" w:rsidP="00086350">
      <w:pPr>
        <w:autoSpaceDE w:val="0"/>
        <w:autoSpaceDN w:val="0"/>
        <w:adjustRightInd w:val="0"/>
        <w:jc w:val="both"/>
      </w:pPr>
    </w:p>
    <w:p w:rsidR="009E314B" w:rsidRDefault="009E314B">
      <w:bookmarkStart w:id="0" w:name="_GoBack"/>
      <w:bookmarkEnd w:id="0"/>
    </w:p>
    <w:sectPr w:rsidR="009E314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350"/>
    <w:rsid w:val="00086350"/>
    <w:rsid w:val="009E31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6350"/>
    <w:pPr>
      <w:spacing w:after="0" w:line="240" w:lineRule="exact"/>
    </w:pPr>
    <w:rPr>
      <w:rFonts w:ascii="Courier New" w:eastAsia="Times New Roman" w:hAnsi="Courier New" w:cs="Courier New"/>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6350"/>
    <w:pPr>
      <w:spacing w:after="0" w:line="240" w:lineRule="exact"/>
    </w:pPr>
    <w:rPr>
      <w:rFonts w:ascii="Courier New" w:eastAsia="Times New Roman" w:hAnsi="Courier New" w:cs="Courier New"/>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500</Words>
  <Characters>2752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Jumicaspe</Company>
  <LinksUpToDate>false</LinksUpToDate>
  <CharactersWithSpaces>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Gregorio Sanchez</dc:creator>
  <cp:lastModifiedBy>Teresa Gregorio Sanchez</cp:lastModifiedBy>
  <cp:revision>1</cp:revision>
  <dcterms:created xsi:type="dcterms:W3CDTF">2015-07-07T19:52:00Z</dcterms:created>
  <dcterms:modified xsi:type="dcterms:W3CDTF">2015-07-07T19:55:00Z</dcterms:modified>
</cp:coreProperties>
</file>