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center"/>
        <w:rPr>
          <w:sz w:val="40"/>
          <w:u w:val="single" w:color="000000"/>
          <w:b/>
          <w:sz w:val="40"/>
          <w:b/>
          <w:rFonts w:ascii="Calibri" w:hAnsi="Calibri" w:eastAsia="Liberation Serif"/>
          <w:color w:val="000000"/>
          <w:lang w:val="es-ES" w:eastAsia="hi-IN"/>
        </w:rPr>
      </w:pPr>
      <w:r>
        <w:rPr>
          <w:rFonts w:eastAsia="Liberation Serif" w:ascii="Calibri" w:hAnsi="Calibri"/>
          <w:b/>
          <w:color w:val="000000"/>
          <w:sz w:val="40"/>
          <w:u w:val="single" w:color="000000"/>
          <w:lang w:val="es-ES" w:eastAsia="hi-IN"/>
        </w:rPr>
        <w:t>A U T O</w:t>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both"/>
        <w:rPr>
          <w:sz w:val="26"/>
          <w:b/>
          <w:sz w:val="26"/>
          <w:b/>
          <w:rFonts w:ascii="Calibri" w:hAnsi="Calibri" w:eastAsia="Liberation Serif"/>
          <w:color w:val="000000"/>
          <w:lang w:val="es-ES" w:eastAsia="hi-IN"/>
        </w:rPr>
      </w:pPr>
      <w:r>
        <w:rPr>
          <w:rFonts w:eastAsia="Liberation Serif" w:ascii="Calibri" w:hAnsi="Calibri"/>
          <w:b/>
          <w:color w:val="000000"/>
          <w:sz w:val="26"/>
          <w:lang w:val="es-ES" w:eastAsia="hi-IN"/>
        </w:rPr>
        <w:tab/>
        <w:t>MAGISTRADO-JUEZ SR. -----------------------------</w:t>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both"/>
      </w:pPr>
      <w:r>
        <w:rPr>
          <w:rFonts w:eastAsia="Liberation Serif" w:ascii="Calibri" w:hAnsi="Calibri"/>
          <w:color w:val="000000"/>
          <w:sz w:val="26"/>
          <w:lang w:val="es-ES" w:eastAsia="hi-IN"/>
        </w:rPr>
        <w:tab/>
        <w:t xml:space="preserve">En –----------, a </w:t>
      </w:r>
      <w:r>
        <w:rPr>
          <w:rFonts w:eastAsia="MS PMincho" w:ascii="Calibri" w:hAnsi="Calibri"/>
          <w:color w:val="000000"/>
          <w:sz w:val="26"/>
          <w:lang w:val="es-ES" w:eastAsia="hi-IN"/>
        </w:rPr>
        <w:t>----------------------------</w:t>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tab/>
        <w:t>Dada cuenta y,</w:t>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center"/>
        <w:rPr>
          <w:sz w:val="26"/>
          <w:u w:val="single" w:color="000000"/>
          <w:b/>
          <w:sz w:val="26"/>
          <w:b/>
          <w:rFonts w:ascii="Calibri" w:hAnsi="Calibri" w:eastAsia="Liberation Serif"/>
          <w:color w:val="000000"/>
          <w:lang w:val="es-ES" w:eastAsia="hi-IN"/>
        </w:rPr>
      </w:pPr>
      <w:r>
        <w:rPr>
          <w:rFonts w:eastAsia="Liberation Serif" w:ascii="Calibri" w:hAnsi="Calibri"/>
          <w:b/>
          <w:color w:val="000000"/>
          <w:sz w:val="26"/>
          <w:u w:val="single" w:color="000000"/>
          <w:lang w:val="es-ES" w:eastAsia="hi-IN"/>
        </w:rPr>
        <w:t>HECHOS</w:t>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ind w:left="0" w:right="0" w:firstLine="720"/>
        <w:jc w:val="both"/>
      </w:pPr>
      <w:r>
        <w:rPr>
          <w:rFonts w:eastAsia="Liberation Serif" w:ascii="Calibri" w:hAnsi="Calibri"/>
          <w:b/>
          <w:color w:val="000000"/>
          <w:sz w:val="26"/>
          <w:lang w:val="es-ES" w:eastAsia="hi-IN"/>
        </w:rPr>
        <w:t>UNICO.-</w:t>
      </w:r>
      <w:r>
        <w:rPr>
          <w:rFonts w:eastAsia="Liberation Serif" w:ascii="Calibri" w:hAnsi="Calibri"/>
          <w:color w:val="000000"/>
          <w:sz w:val="26"/>
          <w:lang w:val="es-ES" w:eastAsia="hi-IN"/>
        </w:rPr>
        <w:t xml:space="preserve"> Por parte del Ministerio Fiscal se interpuso recurso de revisión, contra el</w:t>
      </w:r>
      <w:r>
        <w:rPr>
          <w:rFonts w:eastAsia="Times New Roman" w:ascii="Calibri" w:hAnsi="Calibri"/>
          <w:color w:val="000000"/>
          <w:sz w:val="26"/>
          <w:lang w:val="es-ES" w:eastAsia="hi-IN"/>
        </w:rPr>
        <w:t xml:space="preserve"> Decreto de ______________________ por el que se declaraba insolvente al condenado en el presente procedimiento, al entender que no cabía dicha declaración al existir, conforme la averiguación patrimonial practicada, un bien inmueble del que era titular, en concreto la vivienda situada en __________________, la cual es conforme a su DNI y según los datos obtenidos en la misma averiguación patrimonial la vivienda del condenado.</w:t>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ind w:left="0" w:right="0" w:firstLine="720"/>
        <w:jc w:val="both"/>
        <w:rPr>
          <w:sz w:val="26"/>
          <w:sz w:val="26"/>
          <w:rFonts w:ascii="Calibri" w:hAnsi="Calibri" w:eastAsia="Times New Roman"/>
          <w:color w:val="000000"/>
          <w:lang w:val="es-ES" w:eastAsia="hi-IN"/>
        </w:rPr>
      </w:pPr>
      <w:r>
        <w:rPr>
          <w:rFonts w:eastAsia="Times New Roman" w:ascii="Calibri" w:hAnsi="Calibri"/>
          <w:color w:val="000000"/>
          <w:sz w:val="26"/>
          <w:lang w:val="es-ES" w:eastAsia="hi-IN"/>
        </w:rPr>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center"/>
        <w:rPr>
          <w:sz w:val="26"/>
          <w:u w:val="single" w:color="000000"/>
          <w:b/>
          <w:sz w:val="26"/>
          <w:b/>
          <w:rFonts w:ascii="Calibri" w:hAnsi="Calibri" w:eastAsia="Liberation Serif"/>
          <w:color w:val="000000"/>
          <w:lang w:val="es-ES" w:eastAsia="hi-IN"/>
        </w:rPr>
      </w:pPr>
      <w:r>
        <w:rPr>
          <w:rFonts w:eastAsia="Liberation Serif" w:ascii="Calibri" w:hAnsi="Calibri"/>
          <w:b/>
          <w:color w:val="000000"/>
          <w:sz w:val="26"/>
          <w:u w:val="single" w:color="000000"/>
          <w:lang w:val="es-ES" w:eastAsia="hi-IN"/>
        </w:rPr>
        <w:t>RAZONAMIENTOS JURIDICOS</w:t>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ind w:left="0" w:right="0" w:firstLine="720"/>
        <w:jc w:val="both"/>
      </w:pPr>
      <w:r>
        <w:rPr>
          <w:rFonts w:eastAsia="Liberation Serif" w:ascii="Calibri" w:hAnsi="Calibri"/>
          <w:b/>
          <w:color w:val="000000"/>
          <w:sz w:val="26"/>
          <w:lang w:val="es-ES" w:eastAsia="hi-IN"/>
        </w:rPr>
        <w:t xml:space="preserve">PRIMERO.- </w:t>
      </w:r>
      <w:r>
        <w:rPr>
          <w:rFonts w:eastAsia="Liberation Serif" w:ascii="Calibri" w:hAnsi="Calibri"/>
          <w:b w:val="false"/>
          <w:color w:val="000000"/>
          <w:sz w:val="26"/>
          <w:lang w:val="es-ES" w:eastAsia="hi-IN"/>
        </w:rPr>
        <w:t xml:space="preserve">Partiendo de la base de que el montante pendiente de pago por el condenado asciende solo a trescientos quince euros (315 €) y estableciendo el  artículo 584 de la Ley de Enjuiciamiento Civil que </w:t>
      </w:r>
      <w:r>
        <w:rPr>
          <w:rFonts w:eastAsia="Liberation Serif" w:ascii="Calibri" w:hAnsi="Calibri"/>
          <w:b w:val="false"/>
          <w:i/>
          <w:color w:val="000000"/>
          <w:sz w:val="26"/>
          <w:lang w:val="es-ES" w:eastAsia="hi-IN"/>
        </w:rPr>
        <w:t>“no se embargarán bienes cuyo previsible valor exceda de la cantidad por la que se haya despachado ejecución”</w:t>
      </w:r>
      <w:r>
        <w:rPr>
          <w:rFonts w:eastAsia="Liberation Serif" w:ascii="Calibri" w:hAnsi="Calibri"/>
          <w:b w:val="false"/>
          <w:color w:val="000000"/>
          <w:sz w:val="26"/>
          <w:lang w:val="es-ES" w:eastAsia="hi-IN"/>
        </w:rPr>
        <w:t xml:space="preserve">,  y sin desconocer su inciso final </w:t>
      </w:r>
      <w:r>
        <w:rPr>
          <w:rFonts w:eastAsia="Liberation Serif" w:ascii="Calibri" w:hAnsi="Calibri"/>
          <w:b w:val="false"/>
          <w:i/>
          <w:color w:val="000000"/>
          <w:sz w:val="26"/>
          <w:lang w:val="es-ES" w:eastAsia="hi-IN"/>
        </w:rPr>
        <w:t xml:space="preserve">“salvo que en el patrimonio del ejecutado sólo existieren bienes de valor superior a esos conceptos y la afección de dichos bienes resultare necesaria a los fines de la ejecución.” </w:t>
      </w:r>
      <w:r>
        <w:rPr>
          <w:rFonts w:eastAsia="Liberation Serif" w:ascii="Calibri" w:hAnsi="Calibri"/>
          <w:b w:val="false"/>
          <w:color w:val="000000"/>
          <w:sz w:val="26"/>
          <w:lang w:val="es-ES" w:eastAsia="hi-IN"/>
        </w:rPr>
        <w:t xml:space="preserve">que puesto en relación con el art. 570 de dicha Ley y artículo 1911 del Código Civil, que consagra el principio de responsabilidad universal del deudor, entre otros preceptos, ampararían el llevar a estimar sin más el recurso formulado; sin embargo tampoco podemos desconocer que el artículo 3.1 del Código Civil que señala que las normas se interpretan según la realidad del tiempo en que han de ser aplicadas, atendiendo fundamentalmente al espíritu y finalidad de aquellas, lo que nos obliga a tener en cuenta la problemática social que se ha suscitado en torno a la ejecución hipotecaria sobre la vivienda habitual por las gravísimos efectos sociales que la regulación de la misma ha generado y sigue generando, aumentados por la actual crisis económica, al establecer un procedimiento que resulta absolutamente perjudicial para el ejecutado. </w:t>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ind w:left="0" w:right="0" w:firstLine="720"/>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ind w:left="0" w:right="0" w:firstLine="720"/>
        <w:jc w:val="both"/>
      </w:pPr>
      <w:r>
        <w:rPr>
          <w:rFonts w:eastAsia="Liberation Serif" w:ascii="Calibri" w:hAnsi="Calibri"/>
          <w:b/>
          <w:color w:val="000000"/>
          <w:sz w:val="26"/>
          <w:lang w:val="es-ES" w:eastAsia="hi-IN"/>
        </w:rPr>
        <w:t>SEGUNDO.-</w:t>
      </w:r>
      <w:r>
        <w:rPr>
          <w:rFonts w:eastAsia="Liberation Serif" w:ascii="Calibri" w:hAnsi="Calibri"/>
          <w:b w:val="false"/>
          <w:color w:val="000000"/>
          <w:sz w:val="26"/>
          <w:lang w:val="es-ES" w:eastAsia="hi-IN"/>
        </w:rPr>
        <w:t xml:space="preserve"> Por todo lo expuesto no procede el embargo de la vivienda para satisfacer una deuda de exclusivamente 315 euros por los gravísimos perjuicios que causaría al condenado, sin perjuicio de proceder contra él a través de otros bienes caso de que devenga en mejor fortuna.</w:t>
      </w:r>
      <w:r/>
    </w:p>
    <w:p>
      <w:pPr>
        <w:pStyle w:val="Normal"/>
        <w:widowContro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center"/>
        <w:rPr>
          <w:sz w:val="26"/>
          <w:u w:val="single" w:color="000000"/>
          <w:b/>
          <w:sz w:val="26"/>
          <w:b/>
          <w:rFonts w:ascii="Calibri" w:hAnsi="Calibri" w:eastAsia="Liberation Serif"/>
          <w:color w:val="000000"/>
          <w:lang w:val="es-ES" w:eastAsia="hi-IN"/>
        </w:rPr>
      </w:pPr>
      <w:r>
        <w:rPr>
          <w:rFonts w:eastAsia="Liberation Serif" w:ascii="Calibri" w:hAnsi="Calibri"/>
          <w:b/>
          <w:color w:val="000000"/>
          <w:sz w:val="26"/>
          <w:u w:val="single" w:color="000000"/>
          <w:lang w:val="es-ES" w:eastAsia="hi-IN"/>
        </w:rPr>
        <w:t>PARTE DISPOSITIVA</w:t>
      </w:r>
      <w:r/>
    </w:p>
    <w:p>
      <w:pPr>
        <w:pStyle w:val="Normal"/>
        <w:widowControl/>
        <w:tabs>
          <w:tab w:val="left" w:pos="765" w:leader="none"/>
          <w:tab w:val="left" w:pos="2268"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65" w:leader="none"/>
          <w:tab w:val="left" w:pos="2268" w:leader="none"/>
        </w:tabs>
        <w:jc w:val="both"/>
      </w:pPr>
      <w:r>
        <w:rPr>
          <w:rFonts w:eastAsia="Liberation Serif" w:ascii="Calibri" w:hAnsi="Calibri"/>
          <w:b/>
          <w:color w:val="000000"/>
          <w:sz w:val="26"/>
          <w:lang w:val="es-ES" w:eastAsia="hi-IN"/>
        </w:rPr>
        <w:tab/>
        <w:t>SE DESESTIMA EL RECURSO DE REVISIÓN</w:t>
      </w:r>
      <w:r>
        <w:rPr>
          <w:rFonts w:eastAsia="Liberation Serif" w:ascii="Calibri" w:hAnsi="Calibri"/>
          <w:color w:val="000000"/>
          <w:sz w:val="26"/>
          <w:lang w:val="es-ES" w:eastAsia="hi-IN"/>
        </w:rPr>
        <w:t xml:space="preserve"> interpuesto por el Ministerio Fiscal , </w:t>
      </w:r>
      <w:r>
        <w:rPr>
          <w:rFonts w:eastAsia="Times New Roman" w:ascii="Calibri" w:hAnsi="Calibri"/>
          <w:color w:val="000000"/>
          <w:sz w:val="26"/>
          <w:lang w:val="es-ES" w:eastAsia="hi-IN"/>
        </w:rPr>
        <w:t>contra el Decreto de ________________________ dictada en esta causa; y en su virtud, NO HA LUGAR a re</w:t>
      </w:r>
      <w:r>
        <w:rPr>
          <w:rFonts w:eastAsia="Times New Roman" w:ascii="Calibri" w:hAnsi="Calibri"/>
          <w:color w:val="000000"/>
          <w:sz w:val="26"/>
          <w:lang w:val="es-ES" w:eastAsia="hi-IN"/>
        </w:rPr>
        <w:t>visar</w:t>
      </w:r>
      <w:r>
        <w:rPr>
          <w:rFonts w:eastAsia="Times New Roman" w:ascii="Calibri" w:hAnsi="Calibri"/>
          <w:color w:val="000000"/>
          <w:sz w:val="26"/>
          <w:lang w:val="es-ES" w:eastAsia="hi-IN"/>
        </w:rPr>
        <w:t xml:space="preserve"> dicha resolución, estándose a lo acordado en todas sus partes.</w:t>
      </w:r>
      <w:r/>
    </w:p>
    <w:p>
      <w:pPr>
        <w:pStyle w:val="Normal"/>
        <w:widowControl/>
        <w:tabs>
          <w:tab w:val="left" w:pos="765" w:leader="none"/>
          <w:tab w:val="left" w:pos="2268"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65" w:leader="none"/>
          <w:tab w:val="left" w:pos="2268" w:leader="none"/>
        </w:tabs>
        <w:jc w:val="both"/>
        <w:rPr>
          <w:sz w:val="26"/>
          <w:sz w:val="26"/>
          <w:rFonts w:ascii="Calibri" w:hAnsi="Calibri" w:eastAsia="Times New Roman"/>
          <w:color w:val="000000"/>
          <w:lang w:val="es-ES" w:eastAsia="hi-IN"/>
        </w:rPr>
      </w:pPr>
      <w:r>
        <w:rPr>
          <w:rFonts w:eastAsia="Times New Roman" w:ascii="Calibri" w:hAnsi="Calibri"/>
          <w:color w:val="000000"/>
          <w:sz w:val="26"/>
          <w:lang w:val="es-ES" w:eastAsia="hi-IN"/>
        </w:rPr>
        <w:tab/>
        <w:t>Contra la presente resolución no cabe recurso alguno conforme el art. 238 ter de la Ley de Enjuiciamiento Criminal.</w:t>
      </w:r>
      <w:r/>
    </w:p>
    <w:p>
      <w:pPr>
        <w:pStyle w:val="Normal"/>
        <w:widowControl/>
        <w:tabs>
          <w:tab w:val="left" w:pos="765" w:leader="none"/>
          <w:tab w:val="left" w:pos="2268" w:leader="none"/>
        </w:tabs>
        <w:jc w:val="both"/>
        <w:rPr>
          <w:sz w:val="26"/>
          <w:sz w:val="26"/>
          <w:rFonts w:ascii="Calibri" w:hAnsi="Calibri" w:eastAsia="Liberation Serif"/>
          <w:color w:val="000000"/>
          <w:lang w:val="es-ES" w:eastAsia="hi-IN"/>
        </w:rPr>
      </w:pPr>
      <w:r>
        <w:rPr>
          <w:rFonts w:eastAsia="Liberation Serif" w:ascii="Calibri" w:hAnsi="Calibri"/>
          <w:color w:val="000000"/>
          <w:sz w:val="26"/>
          <w:lang w:val="es-ES" w:eastAsia="hi-IN"/>
        </w:rPr>
      </w:r>
      <w:r/>
    </w:p>
    <w:p>
      <w:pPr>
        <w:pStyle w:val="Normal"/>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jc w:val="both"/>
        <w:rPr>
          <w:sz w:val="26"/>
          <w:sz w:val="26"/>
          <w:rFonts w:ascii="Calibri" w:hAnsi="Calibri" w:eastAsia="Times New Roman"/>
          <w:color w:val="000000"/>
          <w:lang w:val="es-ES" w:eastAsia="hi-IN"/>
        </w:rPr>
      </w:pPr>
      <w:r>
        <w:rPr>
          <w:rFonts w:eastAsia="Times New Roman" w:ascii="Calibri" w:hAnsi="Calibri"/>
          <w:color w:val="000000"/>
          <w:sz w:val="26"/>
          <w:lang w:val="es-ES" w:eastAsia="hi-IN"/>
        </w:rPr>
        <w:tab/>
        <w:t>Así lo dispongo, mando y firmo _________________ Magistrado-Juez del ____________________. Doy fe.</w:t>
      </w: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 w:name="Calibri">
    <w:charset w:val="00"/>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s-ES" w:eastAsia="zh-CN" w:bidi="hi-IN"/>
      </w:rPr>
    </w:rPrDefault>
    <w:pPrDefault>
      <w:pPr/>
    </w:pPrDefault>
  </w:docDefaults>
  <w:style w:type="paragraph" w:styleId="Normal">
    <w:name w:val="Normal"/>
    <w:pPr>
      <w:widowControl w:val="false"/>
      <w:suppressAutoHyphens w:val="true"/>
      <w:kinsoku w:val="true"/>
      <w:overflowPunct w:val="true"/>
      <w:autoSpaceDE w:val="true"/>
      <w:bidi w:val="0"/>
    </w:pPr>
    <w:rPr>
      <w:rFonts w:ascii="Liberation Serif" w:hAnsi="Liberation Serif" w:eastAsia="SimSun" w:cs="Mangal"/>
      <w:color w:val="auto"/>
      <w:sz w:val="24"/>
      <w:szCs w:val="24"/>
      <w:lang w:val="es-ES" w:eastAsia="zh-CN" w:bidi="hi-IN"/>
    </w:rPr>
  </w:style>
  <w:style w:type="character" w:styleId="DefaultParagraphFont">
    <w:name w:val="Default Paragraph Font"/>
    <w:rPr/>
  </w:style>
  <w:style w:type="paragraph" w:styleId="Encabezado">
    <w:name w:val="Encabezado"/>
    <w:basedOn w:val="Normal"/>
    <w:next w:val="Cuerpodetexto"/>
    <w:pPr>
      <w:keepNext/>
      <w:spacing w:before="240" w:after="120"/>
    </w:pPr>
    <w:rPr>
      <w:rFonts w:ascii="Liberation Sans" w:hAnsi="Liberation Sans" w:eastAsia="Microsoft YaHei" w:cs="Mangal"/>
      <w:sz w:val="28"/>
      <w:szCs w:val="28"/>
    </w:rPr>
  </w:style>
  <w:style w:type="paragraph" w:styleId="Cuerpodetexto">
    <w:name w:val="Cuerpo de texto"/>
    <w:basedOn w:val="Normal"/>
    <w:pPr>
      <w:spacing w:lineRule="auto" w:line="288" w:before="0" w:after="140"/>
    </w:pPr>
    <w:rPr/>
  </w:style>
  <w:style w:type="paragraph" w:styleId="Lista">
    <w:name w:val="Lista"/>
    <w:basedOn w:val="Cuerpodetexto"/>
    <w:pPr/>
    <w:rPr>
      <w:rFonts w:cs="Mangal"/>
    </w:rPr>
  </w:style>
  <w:style w:type="paragraph" w:styleId="Pie">
    <w:name w:val="Pie"/>
    <w:basedOn w:val="Normal"/>
    <w:pPr>
      <w:suppressLineNumbers/>
      <w:spacing w:before="120" w:after="120"/>
    </w:pPr>
    <w:rPr>
      <w:rFonts w:cs="Mangal"/>
      <w:i/>
      <w:iCs/>
      <w:sz w:val="24"/>
      <w:szCs w:val="24"/>
    </w:rPr>
  </w:style>
  <w:style w:type="paragraph" w:styleId="Ndice">
    <w:name w:val="Índice"/>
    <w:basedOn w:val="Normal"/>
    <w:pPr>
      <w:suppressLineNumbers/>
    </w:pPr>
    <w:rPr>
      <w:rFonts w:cs="Mangal"/>
    </w:rPr>
  </w:style>
  <w:style w:type="paragraph" w:styleId="Normal1">
    <w:name w:val="[Normal]"/>
    <w:pPr>
      <w:widowControl/>
      <w:suppressAutoHyphens w:val="true"/>
      <w:kinsoku w:val="true"/>
      <w:overflowPunct w:val="true"/>
      <w:autoSpaceDE w:val="true"/>
      <w:bidi w:val="0"/>
      <w:jc w:val="left"/>
    </w:pPr>
    <w:rPr>
      <w:rFonts w:ascii="Arial" w:hAnsi="Arial" w:eastAsia="Liberation Serif" w:cs="Liberation Serif"/>
      <w:color w:val="000000"/>
      <w:sz w:val="24"/>
      <w:szCs w:val="24"/>
      <w:lang w:val="es-ES" w:eastAsia="hi-I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LibreOffice/4.3.7.2$Windows_x86 LibreOffice_project/8a35821d8636a03b8bf4e15b48f59794652c68ba</Application>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2016-04-18T12:56:01Z</dcterms:created>
  <dc:language>es-ES</dc:language>
  <dcterms:modified xsi:type="dcterms:W3CDTF">2016-04-18T12:58:09Z</dcterms:modified>
  <cp:revision>1</cp:revision>
</cp:coreProperties>
</file>