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221D4A" w:rsidRDefault="00221D4A" w:rsidP="00141250">
      <w:pPr>
        <w:autoSpaceDE w:val="0"/>
        <w:autoSpaceDN w:val="0"/>
        <w:adjustRightInd w:val="0"/>
        <w:spacing w:line="240" w:lineRule="auto"/>
        <w:jc w:val="center"/>
        <w:rPr>
          <w:rFonts w:cs="Courier New"/>
          <w:b/>
          <w:szCs w:val="24"/>
        </w:rPr>
      </w:pPr>
      <w:r w:rsidRPr="00221D4A">
        <w:rPr>
          <w:rFonts w:cs="Courier New"/>
          <w:b/>
          <w:szCs w:val="24"/>
        </w:rPr>
        <w:t>HECHOS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Default="00593837" w:rsidP="00141250">
      <w:pPr>
        <w:pStyle w:val="Default"/>
        <w:jc w:val="both"/>
      </w:pPr>
    </w:p>
    <w:p w:rsidR="00593837" w:rsidRDefault="00593837" w:rsidP="001412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PRIMERO.- </w:t>
      </w:r>
      <w:r>
        <w:rPr>
          <w:sz w:val="23"/>
          <w:szCs w:val="23"/>
        </w:rPr>
        <w:t xml:space="preserve">El presente procedimiento de jurisdicción voluntaria se inició por solicitud </w:t>
      </w:r>
      <w:r w:rsidR="009B0B6D">
        <w:rPr>
          <w:sz w:val="23"/>
          <w:szCs w:val="23"/>
        </w:rPr>
        <w:t xml:space="preserve">de </w:t>
      </w:r>
      <w:r w:rsidR="009B0B6D" w:rsidRPr="009B0B6D">
        <w:t xml:space="preserve">D. </w:t>
      </w:r>
      <w:r w:rsidR="00126C09">
        <w:rPr>
          <w:b/>
          <w:bCs/>
          <w:color w:val="31313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126C09">
        <w:rPr>
          <w:b/>
          <w:bCs/>
          <w:color w:val="313132"/>
        </w:rPr>
        <w:instrText xml:space="preserve"> FORMCHECKBOX </w:instrText>
      </w:r>
      <w:r w:rsidR="00CA16C0">
        <w:rPr>
          <w:b/>
          <w:bCs/>
          <w:color w:val="313132"/>
        </w:rPr>
      </w:r>
      <w:r w:rsidR="00CA16C0">
        <w:rPr>
          <w:b/>
          <w:bCs/>
          <w:color w:val="313132"/>
        </w:rPr>
        <w:fldChar w:fldCharType="separate"/>
      </w:r>
      <w:r w:rsidR="00126C09">
        <w:rPr>
          <w:b/>
          <w:bCs/>
          <w:color w:val="313132"/>
        </w:rPr>
        <w:fldChar w:fldCharType="end"/>
      </w:r>
      <w:bookmarkEnd w:id="0"/>
      <w:r w:rsidR="00126C09">
        <w:rPr>
          <w:b/>
          <w:bCs/>
          <w:color w:val="313132"/>
        </w:rPr>
        <w:t xml:space="preserve"> </w:t>
      </w:r>
      <w:r w:rsidR="00221D4A">
        <w:rPr>
          <w:sz w:val="23"/>
          <w:szCs w:val="23"/>
        </w:rPr>
        <w:t xml:space="preserve">por la que </w:t>
      </w:r>
      <w:r w:rsidR="001313B7">
        <w:rPr>
          <w:sz w:val="23"/>
          <w:szCs w:val="23"/>
        </w:rPr>
        <w:t xml:space="preserve">se </w:t>
      </w:r>
      <w:r>
        <w:rPr>
          <w:sz w:val="23"/>
          <w:szCs w:val="23"/>
        </w:rPr>
        <w:t>interesa</w:t>
      </w:r>
      <w:r w:rsidR="001313B7">
        <w:rPr>
          <w:sz w:val="23"/>
          <w:szCs w:val="23"/>
        </w:rPr>
        <w:t>ba</w:t>
      </w:r>
      <w:r>
        <w:rPr>
          <w:sz w:val="23"/>
          <w:szCs w:val="23"/>
        </w:rPr>
        <w:t xml:space="preserve"> el nombramiento de tercer perito frente a </w:t>
      </w:r>
      <w:r w:rsidR="00126C09">
        <w:rPr>
          <w:sz w:val="23"/>
          <w:szCs w:val="23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126C09">
        <w:rPr>
          <w:sz w:val="23"/>
          <w:szCs w:val="23"/>
        </w:rPr>
        <w:instrText xml:space="preserve"> FORMCHECKBOX </w:instrText>
      </w:r>
      <w:r w:rsidR="00CA16C0">
        <w:rPr>
          <w:sz w:val="23"/>
          <w:szCs w:val="23"/>
        </w:rPr>
      </w:r>
      <w:r w:rsidR="00CA16C0">
        <w:rPr>
          <w:sz w:val="23"/>
          <w:szCs w:val="23"/>
        </w:rPr>
        <w:fldChar w:fldCharType="separate"/>
      </w:r>
      <w:r w:rsidR="00126C09">
        <w:rPr>
          <w:sz w:val="23"/>
          <w:szCs w:val="23"/>
        </w:rPr>
        <w:fldChar w:fldCharType="end"/>
      </w:r>
      <w:bookmarkEnd w:id="1"/>
      <w:r>
        <w:rPr>
          <w:sz w:val="23"/>
          <w:szCs w:val="23"/>
        </w:rPr>
        <w:t xml:space="preserve">. </w:t>
      </w:r>
    </w:p>
    <w:p w:rsidR="00221D4A" w:rsidRDefault="00221D4A" w:rsidP="00141250">
      <w:pPr>
        <w:pStyle w:val="Default"/>
        <w:jc w:val="both"/>
        <w:rPr>
          <w:sz w:val="23"/>
          <w:szCs w:val="23"/>
        </w:rPr>
      </w:pPr>
    </w:p>
    <w:p w:rsidR="00593837" w:rsidRDefault="00593837" w:rsidP="001412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SEGUNDO.- </w:t>
      </w:r>
      <w:r>
        <w:rPr>
          <w:sz w:val="23"/>
          <w:szCs w:val="23"/>
        </w:rPr>
        <w:t>Convocadas y citadas las partes a la compare</w:t>
      </w:r>
      <w:r w:rsidR="001313B7">
        <w:rPr>
          <w:sz w:val="23"/>
          <w:szCs w:val="23"/>
        </w:rPr>
        <w:t>ce</w:t>
      </w:r>
      <w:r>
        <w:rPr>
          <w:sz w:val="23"/>
          <w:szCs w:val="23"/>
        </w:rPr>
        <w:t xml:space="preserve">ncia legalmente prevista, asistieron las </w:t>
      </w:r>
      <w:r w:rsidR="00A47192">
        <w:rPr>
          <w:sz w:val="23"/>
          <w:szCs w:val="23"/>
        </w:rPr>
        <w:t>mismas</w:t>
      </w:r>
      <w:r>
        <w:rPr>
          <w:sz w:val="23"/>
          <w:szCs w:val="23"/>
        </w:rPr>
        <w:t xml:space="preserve"> y no habiendo llegado a un acuerdo en la designación </w:t>
      </w:r>
      <w:r w:rsidR="00A47192">
        <w:rPr>
          <w:sz w:val="23"/>
          <w:szCs w:val="23"/>
        </w:rPr>
        <w:t xml:space="preserve">del perito, </w:t>
      </w:r>
      <w:bookmarkStart w:id="2" w:name="_GoBack"/>
      <w:bookmarkEnd w:id="2"/>
      <w:r>
        <w:rPr>
          <w:sz w:val="23"/>
          <w:szCs w:val="23"/>
        </w:rPr>
        <w:t xml:space="preserve">se procedió a designarlo judicialmente, recayendo la designación en la persona de D. </w:t>
      </w:r>
      <w:r w:rsidR="00126C09">
        <w:rPr>
          <w:sz w:val="23"/>
          <w:szCs w:val="23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126C09">
        <w:rPr>
          <w:sz w:val="23"/>
          <w:szCs w:val="23"/>
        </w:rPr>
        <w:instrText xml:space="preserve"> FORMCHECKBOX </w:instrText>
      </w:r>
      <w:r w:rsidR="00CA16C0">
        <w:rPr>
          <w:sz w:val="23"/>
          <w:szCs w:val="23"/>
        </w:rPr>
      </w:r>
      <w:r w:rsidR="00CA16C0">
        <w:rPr>
          <w:sz w:val="23"/>
          <w:szCs w:val="23"/>
        </w:rPr>
        <w:fldChar w:fldCharType="separate"/>
      </w:r>
      <w:r w:rsidR="00126C09"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 xml:space="preserve">. </w:t>
      </w:r>
    </w:p>
    <w:p w:rsidR="001313B7" w:rsidRDefault="001313B7" w:rsidP="00141250">
      <w:pPr>
        <w:pStyle w:val="Default"/>
        <w:jc w:val="both"/>
        <w:rPr>
          <w:sz w:val="23"/>
          <w:szCs w:val="23"/>
        </w:rPr>
      </w:pPr>
    </w:p>
    <w:p w:rsidR="00593837" w:rsidRDefault="00593837" w:rsidP="001412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TERCERO.- </w:t>
      </w:r>
      <w:r>
        <w:rPr>
          <w:sz w:val="23"/>
          <w:szCs w:val="23"/>
        </w:rPr>
        <w:t xml:space="preserve">El perito designado ha aportado el informe pericial requerido, del que dio traslado a las partes. </w:t>
      </w:r>
    </w:p>
    <w:p w:rsidR="009472F1" w:rsidRDefault="009472F1" w:rsidP="00141250">
      <w:pPr>
        <w:pStyle w:val="Default"/>
        <w:jc w:val="both"/>
        <w:rPr>
          <w:sz w:val="23"/>
          <w:szCs w:val="23"/>
        </w:rPr>
      </w:pPr>
    </w:p>
    <w:p w:rsidR="00593837" w:rsidRDefault="00593837" w:rsidP="001412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FUNDAMENTOS DE DERECHO</w:t>
      </w:r>
    </w:p>
    <w:p w:rsidR="009472F1" w:rsidRDefault="009472F1" w:rsidP="00141250">
      <w:pPr>
        <w:pStyle w:val="Default"/>
        <w:jc w:val="both"/>
        <w:rPr>
          <w:sz w:val="23"/>
          <w:szCs w:val="23"/>
        </w:rPr>
      </w:pPr>
    </w:p>
    <w:p w:rsidR="00593837" w:rsidRDefault="00593837" w:rsidP="001412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PRIMERO.- Competencia objetiva y territorial </w:t>
      </w:r>
    </w:p>
    <w:p w:rsidR="00C208E0" w:rsidRDefault="00593837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Tal como se dispone el artículo 137 de la Ley de la Jurisdicción Voluntaria 15/2015, de 2 de julio, será competente para tramitar el presente expediente el juzgado de lo mercantil del lugar del domicilio del asegurado. Siendo el domicilio del mismo en la </w:t>
      </w:r>
      <w:r w:rsidR="00A62E9C">
        <w:rPr>
          <w:sz w:val="23"/>
          <w:szCs w:val="23"/>
        </w:rPr>
        <w:t>p</w:t>
      </w:r>
      <w:r w:rsidR="00C208E0">
        <w:rPr>
          <w:sz w:val="23"/>
          <w:szCs w:val="23"/>
        </w:rPr>
        <w:t xml:space="preserve">rovincia de Murcia se admite la competencia objetiva y territorial de este Juzgado. </w:t>
      </w:r>
    </w:p>
    <w:p w:rsidR="00A62E9C" w:rsidRDefault="00A62E9C" w:rsidP="00141250">
      <w:pPr>
        <w:pStyle w:val="Default"/>
        <w:jc w:val="both"/>
        <w:rPr>
          <w:b/>
          <w:bCs/>
          <w:sz w:val="23"/>
          <w:szCs w:val="23"/>
        </w:rPr>
      </w:pP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SEGUNDO.- Trámite </w:t>
      </w: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artículo 138 de la misma norma procesal determina que, admitida a trámite la solicitud, se convocará a una comparecencia, en la que el Secretario judicial instará a los interesados a que se pongan de acuerdo en el nombramiento de otro perito y, si no hubiere acuerdo, procederá a nombrarlo con arreglo a las normas de la Ley de Enjuiciamiento Civil. </w:t>
      </w: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Verificado el nombramiento, se hará saber al designado para que manifieste si acepta o no el cargo, lo que podrá realizar alegando justa causa. </w:t>
      </w: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Aceptado el cargo, se le proveerá del consiguiente nombramiento, debiendo emitir el dictamen en el plazo de treinta días, el cual se incorporará al expediente, dándose por finalizado el mismo. </w:t>
      </w: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el presente caso, aportado el dictamen es procedente su incorporación al expediente y la finalización del mismo. </w:t>
      </w:r>
    </w:p>
    <w:p w:rsidR="00C208E0" w:rsidRDefault="00C208E0" w:rsidP="00141250">
      <w:pPr>
        <w:pStyle w:val="Default"/>
        <w:jc w:val="both"/>
        <w:rPr>
          <w:sz w:val="23"/>
          <w:szCs w:val="23"/>
        </w:rPr>
      </w:pPr>
    </w:p>
    <w:p w:rsidR="00C208E0" w:rsidRDefault="00A62E9C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208E0">
        <w:rPr>
          <w:sz w:val="23"/>
          <w:szCs w:val="23"/>
        </w:rPr>
        <w:t xml:space="preserve">Vistos los preceptos legales citados y demás de general  aplicación, </w:t>
      </w:r>
      <w:r w:rsidR="00126C09">
        <w:rPr>
          <w:sz w:val="23"/>
          <w:szCs w:val="23"/>
        </w:rPr>
        <w:t>DECRETO:</w:t>
      </w:r>
    </w:p>
    <w:p w:rsidR="00C208E0" w:rsidRDefault="00C208E0" w:rsidP="00141250">
      <w:pPr>
        <w:pStyle w:val="Default"/>
        <w:jc w:val="both"/>
        <w:rPr>
          <w:sz w:val="23"/>
          <w:szCs w:val="23"/>
        </w:rPr>
      </w:pPr>
    </w:p>
    <w:p w:rsidR="00C208E0" w:rsidRDefault="00C208E0" w:rsidP="001412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PARTE DISPOSITIVA</w:t>
      </w:r>
    </w:p>
    <w:p w:rsidR="009B0B6D" w:rsidRDefault="009B0B6D" w:rsidP="00141250">
      <w:pPr>
        <w:pStyle w:val="Default"/>
        <w:jc w:val="center"/>
        <w:rPr>
          <w:sz w:val="23"/>
          <w:szCs w:val="23"/>
        </w:rPr>
      </w:pPr>
    </w:p>
    <w:p w:rsidR="00A62E9C" w:rsidRDefault="00A62E9C" w:rsidP="00141250">
      <w:pPr>
        <w:pStyle w:val="Default"/>
        <w:jc w:val="both"/>
        <w:rPr>
          <w:sz w:val="23"/>
          <w:szCs w:val="23"/>
        </w:rPr>
      </w:pPr>
    </w:p>
    <w:p w:rsidR="00126C09" w:rsidRDefault="00C208E0" w:rsidP="00141250">
      <w:pPr>
        <w:pStyle w:val="Default"/>
        <w:jc w:val="both"/>
      </w:pPr>
      <w:r>
        <w:rPr>
          <w:sz w:val="23"/>
          <w:szCs w:val="23"/>
        </w:rPr>
        <w:lastRenderedPageBreak/>
        <w:t xml:space="preserve">1.- Incorporar el dictamen emitido por </w:t>
      </w:r>
      <w:r w:rsidR="00A62E9C">
        <w:rPr>
          <w:sz w:val="23"/>
          <w:szCs w:val="23"/>
        </w:rPr>
        <w:t>el</w:t>
      </w:r>
      <w:r>
        <w:rPr>
          <w:sz w:val="23"/>
          <w:szCs w:val="23"/>
        </w:rPr>
        <w:t xml:space="preserve"> perito </w:t>
      </w:r>
      <w:r w:rsidR="00126C09">
        <w:rPr>
          <w:b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126C09">
        <w:rPr>
          <w:b/>
          <w:bCs/>
        </w:rPr>
        <w:instrText xml:space="preserve"> FORMCHECKBOX </w:instrText>
      </w:r>
      <w:r w:rsidR="00CA16C0">
        <w:rPr>
          <w:b/>
          <w:bCs/>
        </w:rPr>
      </w:r>
      <w:r w:rsidR="00CA16C0">
        <w:rPr>
          <w:b/>
          <w:bCs/>
        </w:rPr>
        <w:fldChar w:fldCharType="separate"/>
      </w:r>
      <w:r w:rsidR="00126C09">
        <w:rPr>
          <w:b/>
          <w:bCs/>
        </w:rPr>
        <w:fldChar w:fldCharType="end"/>
      </w:r>
      <w:bookmarkEnd w:id="4"/>
      <w:r>
        <w:rPr>
          <w:sz w:val="23"/>
          <w:szCs w:val="23"/>
        </w:rPr>
        <w:t xml:space="preserve">al presente expediente de jurisdicción voluntaria de nombramiento de tercer perito promovido por </w:t>
      </w:r>
      <w:r w:rsidR="00126C09">
        <w:rPr>
          <w:sz w:val="23"/>
          <w:szCs w:val="23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126C09">
        <w:rPr>
          <w:sz w:val="23"/>
          <w:szCs w:val="23"/>
        </w:rPr>
        <w:instrText xml:space="preserve"> FORMCHECKBOX </w:instrText>
      </w:r>
      <w:r w:rsidR="00CA16C0">
        <w:rPr>
          <w:sz w:val="23"/>
          <w:szCs w:val="23"/>
        </w:rPr>
      </w:r>
      <w:r w:rsidR="00CA16C0">
        <w:rPr>
          <w:sz w:val="23"/>
          <w:szCs w:val="23"/>
        </w:rPr>
        <w:fldChar w:fldCharType="separate"/>
      </w:r>
      <w:r w:rsidR="00126C09"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, frente a </w:t>
      </w:r>
      <w:r w:rsidR="00126C09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="00126C09">
        <w:instrText xml:space="preserve"> FORMCHECKBOX </w:instrText>
      </w:r>
      <w:r w:rsidR="00CA16C0">
        <w:fldChar w:fldCharType="separate"/>
      </w:r>
      <w:r w:rsidR="00126C09">
        <w:fldChar w:fldCharType="end"/>
      </w:r>
      <w:bookmarkEnd w:id="6"/>
      <w:r w:rsidR="00126C09">
        <w:t>.</w:t>
      </w:r>
    </w:p>
    <w:p w:rsidR="00126C09" w:rsidRDefault="00126C09" w:rsidP="00141250">
      <w:pPr>
        <w:pStyle w:val="Default"/>
        <w:jc w:val="both"/>
      </w:pP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2.-Llevar el original de este Decreto al legajo correspondiente, dejando certificación literal en el procedimiento. </w:t>
      </w:r>
    </w:p>
    <w:p w:rsidR="00126C09" w:rsidRDefault="00126C09" w:rsidP="00141250">
      <w:pPr>
        <w:pStyle w:val="Default"/>
        <w:jc w:val="both"/>
        <w:rPr>
          <w:sz w:val="23"/>
          <w:szCs w:val="23"/>
        </w:rPr>
      </w:pPr>
    </w:p>
    <w:p w:rsidR="00C208E0" w:rsidRDefault="00C208E0" w:rsidP="001412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3.- Remitir las actuaciones al archivo. </w:t>
      </w:r>
    </w:p>
    <w:p w:rsidR="006E3DE4" w:rsidRDefault="006E3DE4" w:rsidP="00141250">
      <w:pPr>
        <w:pStyle w:val="Default"/>
        <w:jc w:val="both"/>
        <w:rPr>
          <w:sz w:val="23"/>
          <w:szCs w:val="23"/>
        </w:rPr>
      </w:pPr>
    </w:p>
    <w:p w:rsidR="00593837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E3DE4" w:rsidRPr="006A3F4A" w:rsidRDefault="006E3DE4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  <w:r w:rsidRPr="006A3F4A">
        <w:rPr>
          <w:rFonts w:cs="Courier New"/>
          <w:szCs w:val="24"/>
        </w:rPr>
        <w:t>Así lo acuerdo y firmo. Doy fe.</w:t>
      </w:r>
    </w:p>
    <w:p w:rsidR="006E3DE4" w:rsidRPr="006A3F4A" w:rsidRDefault="006E3DE4" w:rsidP="0014125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</w:rPr>
      </w:pPr>
    </w:p>
    <w:p w:rsidR="006E3DE4" w:rsidRPr="006A3F4A" w:rsidRDefault="006E3DE4" w:rsidP="0014125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</w:rPr>
      </w:pPr>
      <w:r w:rsidRPr="006A3F4A">
        <w:rPr>
          <w:rFonts w:cs="Courier New"/>
          <w:b/>
          <w:bCs/>
          <w:szCs w:val="24"/>
        </w:rPr>
        <w:t>EL/LA LETRADO DE LA ADMINISTRACIÓN DE JUSTICIA</w:t>
      </w:r>
    </w:p>
    <w:p w:rsidR="006E3DE4" w:rsidRPr="006A3F4A" w:rsidRDefault="006E3DE4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E3DE4" w:rsidRPr="006A3F4A" w:rsidRDefault="006E3DE4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E3DE4" w:rsidRPr="006A3F4A" w:rsidRDefault="006E3DE4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593837" w:rsidRPr="006A3F4A" w:rsidRDefault="00593837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  <w:r w:rsidRPr="006A3F4A">
        <w:rPr>
          <w:rFonts w:cs="Courier New"/>
          <w:b/>
          <w:bCs/>
          <w:szCs w:val="24"/>
        </w:rPr>
        <w:t>MODO DE IMPUGNACIÓN:</w:t>
      </w:r>
      <w:r w:rsidRPr="006A3F4A">
        <w:rPr>
          <w:rFonts w:cs="Courier New"/>
          <w:szCs w:val="24"/>
        </w:rPr>
        <w:t xml:space="preserve"> Contra la presente resolución cabe interponer </w:t>
      </w:r>
      <w:r w:rsidRPr="006A3F4A">
        <w:rPr>
          <w:rFonts w:cs="Courier New"/>
          <w:b/>
          <w:bCs/>
          <w:szCs w:val="24"/>
        </w:rPr>
        <w:t>recurso de revisión</w:t>
      </w:r>
      <w:r w:rsidRPr="006A3F4A">
        <w:rPr>
          <w:rFonts w:cs="Courier New"/>
          <w:szCs w:val="24"/>
        </w:rPr>
        <w:t xml:space="preserve"> en el plazo de </w:t>
      </w:r>
      <w:r w:rsidRPr="006A3F4A">
        <w:rPr>
          <w:rFonts w:cs="Courier New"/>
          <w:b/>
          <w:bCs/>
          <w:szCs w:val="24"/>
        </w:rPr>
        <w:t>cinco días</w:t>
      </w:r>
      <w:r w:rsidRPr="006A3F4A">
        <w:rPr>
          <w:rFonts w:cs="Courier New"/>
          <w:szCs w:val="24"/>
        </w:rPr>
        <w:t xml:space="preserve"> contados a partir del día siguiente de su notificación, mediante escrito en el que deberá citarse la infracción en que la resolución hubiera incurrido.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  <w:r w:rsidRPr="006A3F4A">
        <w:rPr>
          <w:rFonts w:cs="Courier New"/>
          <w:szCs w:val="24"/>
        </w:rPr>
        <w:t xml:space="preserve">Dicho recurso </w:t>
      </w:r>
      <w:r w:rsidRPr="006A3F4A">
        <w:rPr>
          <w:rFonts w:cs="Courier New"/>
          <w:b/>
          <w:bCs/>
          <w:szCs w:val="24"/>
        </w:rPr>
        <w:t>carecerá de efectos suspensivos</w:t>
      </w:r>
      <w:r w:rsidRPr="006A3F4A">
        <w:rPr>
          <w:rFonts w:cs="Courier New"/>
          <w:szCs w:val="24"/>
        </w:rPr>
        <w:t xml:space="preserve"> sin que, en ningún caso, proceda actuar en sentido contrario a lo que se hubiese resuelto (art. 454.bis L.E.C.).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  <w:r w:rsidRPr="006A3F4A">
        <w:rPr>
          <w:rFonts w:cs="Courier New"/>
          <w:szCs w:val="24"/>
        </w:rPr>
        <w:t xml:space="preserve">Para la admisión del recurso se deberá acreditar haber constituido un </w:t>
      </w:r>
      <w:r w:rsidRPr="006A3F4A">
        <w:rPr>
          <w:rFonts w:cs="Courier New"/>
          <w:b/>
          <w:bCs/>
          <w:szCs w:val="24"/>
        </w:rPr>
        <w:t>depósito de</w:t>
      </w:r>
      <w:r w:rsidRPr="006A3F4A">
        <w:rPr>
          <w:rFonts w:cs="Courier New"/>
          <w:szCs w:val="24"/>
        </w:rPr>
        <w:t xml:space="preserve"> </w:t>
      </w:r>
      <w:r w:rsidRPr="006A3F4A">
        <w:rPr>
          <w:rFonts w:cs="Courier New"/>
          <w:b/>
          <w:bCs/>
          <w:szCs w:val="24"/>
        </w:rPr>
        <w:t>25 euros</w:t>
      </w:r>
      <w:r w:rsidRPr="006A3F4A">
        <w:rPr>
          <w:rFonts w:cs="Courier New"/>
          <w:szCs w:val="24"/>
        </w:rPr>
        <w:t xml:space="preserve"> en la cuenta de depósitos y consignaciones de este órgano judicial, con el nº </w:t>
      </w:r>
      <w:r w:rsidR="00126C09">
        <w:rPr>
          <w:rFonts w:cs="Courier New"/>
          <w:b/>
          <w:bCs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="00126C09">
        <w:rPr>
          <w:rFonts w:cs="Courier New"/>
          <w:b/>
          <w:bCs/>
          <w:szCs w:val="24"/>
        </w:rPr>
        <w:instrText xml:space="preserve"> FORMCHECKBOX </w:instrText>
      </w:r>
      <w:r w:rsidR="00CA16C0">
        <w:rPr>
          <w:rFonts w:cs="Courier New"/>
          <w:b/>
          <w:bCs/>
          <w:szCs w:val="24"/>
        </w:rPr>
      </w:r>
      <w:r w:rsidR="00CA16C0">
        <w:rPr>
          <w:rFonts w:cs="Courier New"/>
          <w:b/>
          <w:bCs/>
          <w:szCs w:val="24"/>
        </w:rPr>
        <w:fldChar w:fldCharType="separate"/>
      </w:r>
      <w:r w:rsidR="00126C09">
        <w:rPr>
          <w:rFonts w:cs="Courier New"/>
          <w:b/>
          <w:bCs/>
          <w:szCs w:val="24"/>
        </w:rPr>
        <w:fldChar w:fldCharType="end"/>
      </w:r>
      <w:bookmarkEnd w:id="7"/>
      <w:r w:rsidR="00126C09">
        <w:rPr>
          <w:rFonts w:cs="Courier New"/>
          <w:b/>
          <w:bCs/>
          <w:szCs w:val="24"/>
        </w:rPr>
        <w:t xml:space="preserve"> </w:t>
      </w:r>
      <w:r w:rsidRPr="006A3F4A">
        <w:rPr>
          <w:rFonts w:cs="Courier New"/>
          <w:szCs w:val="24"/>
        </w:rPr>
        <w:t xml:space="preserve">de la entidad </w:t>
      </w:r>
      <w:r w:rsidRPr="006A3F4A">
        <w:rPr>
          <w:rFonts w:cs="Courier New"/>
          <w:b/>
          <w:bCs/>
          <w:szCs w:val="24"/>
        </w:rPr>
        <w:t>BANCO SANTANDER</w:t>
      </w:r>
      <w:r w:rsidRPr="006A3F4A">
        <w:rPr>
          <w:rFonts w:cs="Courier New"/>
          <w:szCs w:val="24"/>
        </w:rPr>
        <w:t>. Salvo que el recurrente sea: beneficiario de Justicia gratuita, el Ministerio Fiscal, el Estado, Comunidad Autónoma, Entidad Local u Organismo Autónomo dependiente.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  <w:r w:rsidRPr="006A3F4A">
        <w:rPr>
          <w:rFonts w:cs="Courier New"/>
          <w:szCs w:val="24"/>
        </w:rPr>
        <w:t>Así lo acuerdo y firmo. Doy fe.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center"/>
        <w:rPr>
          <w:rFonts w:cs="Courier New"/>
          <w:szCs w:val="24"/>
        </w:rPr>
      </w:pPr>
      <w:r w:rsidRPr="006A3F4A">
        <w:rPr>
          <w:rFonts w:cs="Courier New"/>
          <w:b/>
          <w:bCs/>
          <w:szCs w:val="24"/>
        </w:rPr>
        <w:t>EL/LA LETRADO DE LA ADMINISTRACIÓN DE JUSTICIA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Cs w:val="24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16"/>
          <w:szCs w:val="16"/>
        </w:rPr>
      </w:pPr>
      <w:r w:rsidRPr="006A3F4A">
        <w:rPr>
          <w:rFonts w:cs="Courier New"/>
          <w:sz w:val="16"/>
          <w:szCs w:val="16"/>
        </w:rPr>
        <w:t>La difusión del texto de esta resolución a partes no interesadas en el proceso en el que ha sido dictada sólo podrá llevarse a cabo previa disociación de los datos de carácter personal que los mismos contuvieran y con pleno respeto al derecho a la intimidad, a los derechos de las personas que requieran un especial deber de tutelar o a la garantía del anonimato de las víctimas o perjuicio, cuando proceda.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16"/>
          <w:szCs w:val="16"/>
        </w:rPr>
      </w:pP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16"/>
          <w:szCs w:val="16"/>
        </w:rPr>
      </w:pPr>
      <w:r w:rsidRPr="006A3F4A">
        <w:rPr>
          <w:rFonts w:cs="Courier New"/>
          <w:sz w:val="16"/>
          <w:szCs w:val="16"/>
        </w:rPr>
        <w:t>Los datos personales incluidos en esta resolución no podrán ser cedidos, ni comunicados con fines contrarios a las leyes.</w:t>
      </w:r>
    </w:p>
    <w:p w:rsidR="006A3F4A" w:rsidRPr="006A3F4A" w:rsidRDefault="006A3F4A" w:rsidP="00141250">
      <w:pPr>
        <w:autoSpaceDE w:val="0"/>
        <w:autoSpaceDN w:val="0"/>
        <w:adjustRightInd w:val="0"/>
        <w:spacing w:line="240" w:lineRule="auto"/>
        <w:jc w:val="both"/>
        <w:rPr>
          <w:rFonts w:cs="Courier New"/>
          <w:sz w:val="16"/>
          <w:szCs w:val="16"/>
        </w:rPr>
      </w:pPr>
    </w:p>
    <w:sectPr w:rsidR="006A3F4A" w:rsidRPr="006A3F4A" w:rsidSect="00141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2268" w:left="198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C0" w:rsidRDefault="00CA16C0">
      <w:pPr>
        <w:spacing w:line="240" w:lineRule="auto"/>
      </w:pPr>
      <w:r>
        <w:separator/>
      </w:r>
    </w:p>
  </w:endnote>
  <w:endnote w:type="continuationSeparator" w:id="0">
    <w:p w:rsidR="00CA16C0" w:rsidRDefault="00CA1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0" w:rsidRDefault="001412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E6" w:rsidRPr="00141250" w:rsidRDefault="007F2E4D" w:rsidP="00141250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315595</wp:posOffset>
          </wp:positionH>
          <wp:positionV relativeFrom="page">
            <wp:posOffset>8297545</wp:posOffset>
          </wp:positionV>
          <wp:extent cx="628015" cy="1259840"/>
          <wp:effectExtent l="0" t="0" r="0" b="0"/>
          <wp:wrapNone/>
          <wp:docPr id="6" name="Imagen 6" descr="C:\Program Files\Aplicacion Judicial\minerva\aplicacion\logo_comunid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\Aplicacion Judicial\minerva\aplicacion\logo_comunida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143510</wp:posOffset>
          </wp:positionH>
          <wp:positionV relativeFrom="page">
            <wp:posOffset>359410</wp:posOffset>
          </wp:positionV>
          <wp:extent cx="1017270" cy="9096375"/>
          <wp:effectExtent l="0" t="0" r="0" b="0"/>
          <wp:wrapNone/>
          <wp:docPr id="5" name="Imagen 5" descr="C:\Program Files\Aplicacion Judicial\minerva\aplicacion\barr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rogram Files\Aplicacion Judicial\minerva\aplicacion\barra.wmf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09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28040" cy="1079500"/>
          <wp:effectExtent l="0" t="0" r="0" b="0"/>
          <wp:wrapNone/>
          <wp:docPr id="4" name="Imagen 4" descr="C:\Program Files\Aplicacion Judicial\minerva\aplicacion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rogram Files\Aplicacion Judicial\minerva\aplicacion\logo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0" w:rsidRDefault="001412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C0" w:rsidRDefault="00CA16C0">
      <w:pPr>
        <w:spacing w:line="240" w:lineRule="auto"/>
      </w:pPr>
      <w:r>
        <w:separator/>
      </w:r>
    </w:p>
  </w:footnote>
  <w:footnote w:type="continuationSeparator" w:id="0">
    <w:p w:rsidR="00CA16C0" w:rsidRDefault="00CA1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0" w:rsidRDefault="001412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F4A" w:rsidRDefault="00141250" w:rsidP="00141250">
    <w:pPr>
      <w:pStyle w:val="Encabezado"/>
      <w:jc w:val="right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0" w:rsidRDefault="001412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exado_texto" w:val="False"/>
    <w:docVar w:name="Ins_docu" w:val=" "/>
    <w:docVar w:name="ModoApertura" w:val="5"/>
    <w:docVar w:name="Numdocu" w:val=" "/>
    <w:docVar w:name="NúmeroCopias" w:val="1"/>
    <w:docVar w:name="Password" w:val="False"/>
    <w:docVar w:name="PathTrabajo" w:val="C:\Program Files\Aplicacion Judicial\minerva\aplicacion"/>
    <w:docVar w:name="PermitirInsertar" w:val="True"/>
    <w:docVar w:name="PID" w:val="0"/>
    <w:docVar w:name="Poner_Margenes" w:val="NO"/>
    <w:docVar w:name="Procedimiento" w:val=" "/>
    <w:docVar w:name="Tipo_Numeracion" w:val="ARABE"/>
    <w:docVar w:name="Usuario" w:val="ju002095"/>
  </w:docVars>
  <w:rsids>
    <w:rsidRoot w:val="006A3F4A"/>
    <w:rsid w:val="000B3CDD"/>
    <w:rsid w:val="000B4423"/>
    <w:rsid w:val="000B4628"/>
    <w:rsid w:val="000E5621"/>
    <w:rsid w:val="00126C09"/>
    <w:rsid w:val="001313B7"/>
    <w:rsid w:val="00131DFA"/>
    <w:rsid w:val="00141250"/>
    <w:rsid w:val="00143D07"/>
    <w:rsid w:val="00221D4A"/>
    <w:rsid w:val="002B1278"/>
    <w:rsid w:val="00302B94"/>
    <w:rsid w:val="003103C0"/>
    <w:rsid w:val="00314ED9"/>
    <w:rsid w:val="003152E4"/>
    <w:rsid w:val="0031533D"/>
    <w:rsid w:val="003469AC"/>
    <w:rsid w:val="0035267D"/>
    <w:rsid w:val="00353600"/>
    <w:rsid w:val="00393E4E"/>
    <w:rsid w:val="003C1B7E"/>
    <w:rsid w:val="00401B25"/>
    <w:rsid w:val="00413DB6"/>
    <w:rsid w:val="00420F1E"/>
    <w:rsid w:val="004B0BBC"/>
    <w:rsid w:val="004D7738"/>
    <w:rsid w:val="004F6D47"/>
    <w:rsid w:val="00510864"/>
    <w:rsid w:val="00593837"/>
    <w:rsid w:val="005B5957"/>
    <w:rsid w:val="006232EB"/>
    <w:rsid w:val="00667EDB"/>
    <w:rsid w:val="006813FA"/>
    <w:rsid w:val="006A3F4A"/>
    <w:rsid w:val="006B22A1"/>
    <w:rsid w:val="006E3DE4"/>
    <w:rsid w:val="00702A68"/>
    <w:rsid w:val="00731EE6"/>
    <w:rsid w:val="00742F2E"/>
    <w:rsid w:val="00782CB5"/>
    <w:rsid w:val="0078322D"/>
    <w:rsid w:val="007B5107"/>
    <w:rsid w:val="007F2E4D"/>
    <w:rsid w:val="008004C8"/>
    <w:rsid w:val="00826E89"/>
    <w:rsid w:val="009472F1"/>
    <w:rsid w:val="00962BBA"/>
    <w:rsid w:val="00974F47"/>
    <w:rsid w:val="009B0B6D"/>
    <w:rsid w:val="009B2511"/>
    <w:rsid w:val="009D0685"/>
    <w:rsid w:val="00A47192"/>
    <w:rsid w:val="00A62E9C"/>
    <w:rsid w:val="00A7639D"/>
    <w:rsid w:val="00A91B5B"/>
    <w:rsid w:val="00B32FA0"/>
    <w:rsid w:val="00B43C78"/>
    <w:rsid w:val="00BE6E88"/>
    <w:rsid w:val="00C144D4"/>
    <w:rsid w:val="00C208E0"/>
    <w:rsid w:val="00C27A0D"/>
    <w:rsid w:val="00C30393"/>
    <w:rsid w:val="00C67B4B"/>
    <w:rsid w:val="00CA16C0"/>
    <w:rsid w:val="00CC0D26"/>
    <w:rsid w:val="00CF0A3C"/>
    <w:rsid w:val="00CF1D6E"/>
    <w:rsid w:val="00D700C0"/>
    <w:rsid w:val="00E360BD"/>
    <w:rsid w:val="00E36795"/>
    <w:rsid w:val="00E60924"/>
    <w:rsid w:val="00E85C34"/>
    <w:rsid w:val="00EC3E11"/>
    <w:rsid w:val="00EF015E"/>
    <w:rsid w:val="00F23A04"/>
    <w:rsid w:val="00F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800080"/>
      <w:u w:val="none"/>
    </w:rPr>
  </w:style>
  <w:style w:type="character" w:styleId="Hipervnculovisitado">
    <w:name w:val="FollowedHyperlink"/>
    <w:basedOn w:val="Fuentedeprrafopredeter"/>
    <w:uiPriority w:val="99"/>
    <w:rPr>
      <w:color w:val="800000"/>
      <w:u w:val="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urier New" w:hAnsi="Courier New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urier New" w:hAnsi="Courier New"/>
      <w:sz w:val="24"/>
    </w:rPr>
  </w:style>
  <w:style w:type="character" w:styleId="Nmerodepgina">
    <w:name w:val="page number"/>
    <w:basedOn w:val="Fuentedeprrafopredeter"/>
    <w:uiPriority w:val="99"/>
    <w:rPr>
      <w:rFonts w:ascii="Courier New" w:hAnsi="Courier New" w:cs="Courier New"/>
      <w:sz w:val="18"/>
    </w:rPr>
  </w:style>
  <w:style w:type="paragraph" w:customStyle="1" w:styleId="Default">
    <w:name w:val="Default"/>
    <w:rsid w:val="0059383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Pr>
      <w:color w:val="800080"/>
      <w:u w:val="none"/>
    </w:rPr>
  </w:style>
  <w:style w:type="character" w:styleId="Hipervnculovisitado">
    <w:name w:val="FollowedHyperlink"/>
    <w:basedOn w:val="Fuentedeprrafopredeter"/>
    <w:uiPriority w:val="99"/>
    <w:rPr>
      <w:color w:val="800000"/>
      <w:u w:val="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urier New" w:hAnsi="Courier New"/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urier New" w:hAnsi="Courier New"/>
      <w:sz w:val="24"/>
    </w:rPr>
  </w:style>
  <w:style w:type="character" w:styleId="Nmerodepgina">
    <w:name w:val="page number"/>
    <w:basedOn w:val="Fuentedeprrafopredeter"/>
    <w:uiPriority w:val="99"/>
    <w:rPr>
      <w:rFonts w:ascii="Courier New" w:hAnsi="Courier New" w:cs="Courier New"/>
      <w:sz w:val="18"/>
    </w:rPr>
  </w:style>
  <w:style w:type="paragraph" w:customStyle="1" w:styleId="Default">
    <w:name w:val="Default"/>
    <w:rsid w:val="00593837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plicacion%20judicial\libraword\w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we.dot</Template>
  <TotalTime>4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SGNTJ</dc:creator>
  <cp:keywords/>
  <dc:description/>
  <cp:lastModifiedBy>ANA</cp:lastModifiedBy>
  <cp:revision>6</cp:revision>
  <cp:lastPrinted>2000-06-13T10:42:00Z</cp:lastPrinted>
  <dcterms:created xsi:type="dcterms:W3CDTF">2019-03-21T11:36:00Z</dcterms:created>
  <dcterms:modified xsi:type="dcterms:W3CDTF">2019-06-14T19:12:00Z</dcterms:modified>
</cp:coreProperties>
</file>