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70" w:rsidRDefault="00315470"/>
    <w:p w:rsidR="00315470" w:rsidRPr="003A070C" w:rsidRDefault="00315470">
      <w:pPr>
        <w:rPr>
          <w:rFonts w:ascii="Verdana" w:hAnsi="Verdana"/>
        </w:rPr>
      </w:pPr>
    </w:p>
    <w:p w:rsidR="00315470" w:rsidRPr="003A070C" w:rsidRDefault="00315470" w:rsidP="00AB629D">
      <w:pPr>
        <w:pBdr>
          <w:top w:val="single" w:sz="4" w:space="1" w:color="943634"/>
          <w:bottom w:val="single" w:sz="4" w:space="1" w:color="943634"/>
        </w:pBdr>
        <w:jc w:val="center"/>
        <w:rPr>
          <w:rFonts w:ascii="Verdana" w:hAnsi="Verdana"/>
          <w:color w:val="800000"/>
          <w:sz w:val="56"/>
          <w:szCs w:val="56"/>
        </w:rPr>
      </w:pPr>
      <w:r w:rsidRPr="003A070C">
        <w:rPr>
          <w:rFonts w:ascii="Verdana" w:hAnsi="Verdana"/>
          <w:color w:val="800000"/>
          <w:sz w:val="56"/>
          <w:szCs w:val="56"/>
        </w:rPr>
        <w:t xml:space="preserve">El </w:t>
      </w:r>
      <w:r w:rsidRPr="003A070C">
        <w:rPr>
          <w:rFonts w:ascii="Verdana" w:hAnsi="Verdana"/>
          <w:b/>
          <w:color w:val="800000"/>
          <w:sz w:val="56"/>
          <w:szCs w:val="56"/>
        </w:rPr>
        <w:t>CGPJ</w:t>
      </w:r>
      <w:r w:rsidRPr="003A070C">
        <w:rPr>
          <w:rFonts w:ascii="Verdana" w:hAnsi="Verdana"/>
          <w:color w:val="800000"/>
          <w:sz w:val="56"/>
          <w:szCs w:val="56"/>
        </w:rPr>
        <w:t xml:space="preserve"> informa</w:t>
      </w:r>
    </w:p>
    <w:p w:rsidR="00F133CF" w:rsidRPr="003A070C" w:rsidRDefault="00F133CF" w:rsidP="00F133CF">
      <w:pPr>
        <w:rPr>
          <w:rFonts w:ascii="Verdana" w:hAnsi="Verdana"/>
          <w:b/>
          <w:sz w:val="28"/>
          <w:szCs w:val="28"/>
        </w:rPr>
      </w:pPr>
    </w:p>
    <w:p w:rsidR="00213F4B" w:rsidRDefault="00213F4B" w:rsidP="00F133CF">
      <w:pPr>
        <w:rPr>
          <w:rFonts w:ascii="Verdana" w:hAnsi="Verdana"/>
          <w:b/>
          <w:sz w:val="28"/>
          <w:szCs w:val="28"/>
        </w:rPr>
      </w:pPr>
    </w:p>
    <w:p w:rsidR="00881BEB" w:rsidRDefault="00DA4EA3" w:rsidP="00881BE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El CGPJ </w:t>
      </w:r>
      <w:r w:rsidR="00DE63BA">
        <w:rPr>
          <w:rFonts w:ascii="Verdana" w:hAnsi="Verdana"/>
          <w:b/>
          <w:sz w:val="28"/>
          <w:szCs w:val="28"/>
        </w:rPr>
        <w:t>pone en funcionamiento su sede electrónica</w:t>
      </w:r>
    </w:p>
    <w:p w:rsidR="00881BEB" w:rsidRDefault="00881BEB" w:rsidP="00881BEB">
      <w:pPr>
        <w:jc w:val="both"/>
        <w:rPr>
          <w:rFonts w:ascii="Verdana" w:hAnsi="Verdana"/>
        </w:rPr>
      </w:pPr>
    </w:p>
    <w:p w:rsidR="00346B6C" w:rsidRDefault="00DE63BA" w:rsidP="00346B6C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Desde hoy, </w:t>
      </w:r>
      <w:r w:rsidR="007B4B64">
        <w:rPr>
          <w:rFonts w:ascii="Verdana" w:hAnsi="Verdana"/>
        </w:rPr>
        <w:t xml:space="preserve">a través de la </w:t>
      </w:r>
      <w:r w:rsidR="00E65DD7">
        <w:rPr>
          <w:rFonts w:ascii="Verdana" w:hAnsi="Verdana"/>
        </w:rPr>
        <w:t>s</w:t>
      </w:r>
      <w:bookmarkStart w:id="0" w:name="_GoBack"/>
      <w:bookmarkEnd w:id="0"/>
      <w:r w:rsidR="007B4B64">
        <w:rPr>
          <w:rFonts w:ascii="Verdana" w:hAnsi="Verdana"/>
        </w:rPr>
        <w:t xml:space="preserve">ede, </w:t>
      </w:r>
      <w:r>
        <w:rPr>
          <w:rFonts w:ascii="Verdana" w:hAnsi="Verdana"/>
        </w:rPr>
        <w:t>los ciudadanos podrán realizar por vía telemática todos los trámites ante el órgano de gobierno de los jueces que requieran autenticación</w:t>
      </w:r>
    </w:p>
    <w:p w:rsidR="00DB04AB" w:rsidRDefault="00DB04AB" w:rsidP="00F133CF">
      <w:pPr>
        <w:rPr>
          <w:rFonts w:ascii="Verdana" w:hAnsi="Verdana"/>
          <w:sz w:val="22"/>
          <w:szCs w:val="22"/>
        </w:rPr>
      </w:pPr>
    </w:p>
    <w:p w:rsidR="00012095" w:rsidRDefault="00012095" w:rsidP="00F133CF">
      <w:pPr>
        <w:rPr>
          <w:rFonts w:ascii="Verdana" w:hAnsi="Verdana"/>
          <w:sz w:val="22"/>
          <w:szCs w:val="22"/>
        </w:rPr>
      </w:pPr>
    </w:p>
    <w:p w:rsidR="00F133CF" w:rsidRPr="00F133CF" w:rsidRDefault="00F133CF" w:rsidP="00F133CF">
      <w:pPr>
        <w:rPr>
          <w:rFonts w:ascii="Verdana" w:hAnsi="Verdana"/>
          <w:sz w:val="22"/>
          <w:szCs w:val="22"/>
        </w:rPr>
      </w:pPr>
      <w:r w:rsidRPr="00F133CF">
        <w:rPr>
          <w:rFonts w:ascii="Verdana" w:hAnsi="Verdana"/>
          <w:sz w:val="22"/>
          <w:szCs w:val="22"/>
        </w:rPr>
        <w:t xml:space="preserve">Madrid, </w:t>
      </w:r>
      <w:r w:rsidR="00DE63BA">
        <w:rPr>
          <w:rFonts w:ascii="Verdana" w:hAnsi="Verdana"/>
          <w:sz w:val="22"/>
          <w:szCs w:val="22"/>
        </w:rPr>
        <w:t>18</w:t>
      </w:r>
      <w:r w:rsidR="00BB353D">
        <w:rPr>
          <w:rFonts w:ascii="Verdana" w:hAnsi="Verdana"/>
          <w:sz w:val="22"/>
          <w:szCs w:val="22"/>
        </w:rPr>
        <w:t xml:space="preserve"> de </w:t>
      </w:r>
      <w:r w:rsidR="00DE63BA">
        <w:rPr>
          <w:rFonts w:ascii="Verdana" w:hAnsi="Verdana"/>
          <w:sz w:val="22"/>
          <w:szCs w:val="22"/>
        </w:rPr>
        <w:t>diciembre</w:t>
      </w:r>
      <w:r w:rsidR="00AD1F86">
        <w:rPr>
          <w:rFonts w:ascii="Verdana" w:hAnsi="Verdana"/>
          <w:sz w:val="22"/>
          <w:szCs w:val="22"/>
        </w:rPr>
        <w:t xml:space="preserve"> </w:t>
      </w:r>
      <w:r w:rsidRPr="00F133CF">
        <w:rPr>
          <w:rFonts w:ascii="Verdana" w:hAnsi="Verdana"/>
          <w:sz w:val="22"/>
          <w:szCs w:val="22"/>
        </w:rPr>
        <w:t xml:space="preserve">de </w:t>
      </w:r>
      <w:r w:rsidR="008D1265">
        <w:rPr>
          <w:rFonts w:ascii="Verdana" w:hAnsi="Verdana"/>
          <w:sz w:val="22"/>
          <w:szCs w:val="22"/>
        </w:rPr>
        <w:t>201</w:t>
      </w:r>
      <w:r w:rsidR="005C52F8">
        <w:rPr>
          <w:rFonts w:ascii="Verdana" w:hAnsi="Verdana"/>
          <w:sz w:val="22"/>
          <w:szCs w:val="22"/>
        </w:rPr>
        <w:t>9</w:t>
      </w:r>
      <w:r w:rsidRPr="00F133CF">
        <w:rPr>
          <w:rFonts w:ascii="Verdana" w:hAnsi="Verdana"/>
          <w:sz w:val="22"/>
          <w:szCs w:val="22"/>
        </w:rPr>
        <w:t>.-</w:t>
      </w:r>
    </w:p>
    <w:p w:rsidR="00F133CF" w:rsidRDefault="00F133CF" w:rsidP="00F133CF">
      <w:pPr>
        <w:jc w:val="both"/>
        <w:rPr>
          <w:rFonts w:ascii="Verdana" w:hAnsi="Verdana"/>
          <w:sz w:val="22"/>
          <w:szCs w:val="22"/>
        </w:rPr>
      </w:pPr>
    </w:p>
    <w:p w:rsidR="00942161" w:rsidRDefault="00DE63BA" w:rsidP="00DB04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346B6C">
        <w:rPr>
          <w:rFonts w:ascii="Verdana" w:hAnsi="Verdana"/>
          <w:sz w:val="22"/>
          <w:szCs w:val="22"/>
        </w:rPr>
        <w:t xml:space="preserve">l </w:t>
      </w:r>
      <w:r w:rsidR="00DD5C2B">
        <w:rPr>
          <w:rFonts w:ascii="Verdana" w:hAnsi="Verdana"/>
          <w:sz w:val="22"/>
          <w:szCs w:val="22"/>
        </w:rPr>
        <w:t xml:space="preserve">Consejo </w:t>
      </w:r>
      <w:r w:rsidR="00D133D9">
        <w:rPr>
          <w:rFonts w:ascii="Verdana" w:hAnsi="Verdana"/>
          <w:sz w:val="22"/>
          <w:szCs w:val="22"/>
        </w:rPr>
        <w:t>General del Poder Judicial</w:t>
      </w:r>
      <w:r w:rsidR="00346B6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ha puesto hoy en funcionamiento su sede electrónica, que permite a los ciudadanos realizar por vía telemática todos los trámites ante el órgano de gobierno de los jueces que requieran autenticación.</w:t>
      </w:r>
    </w:p>
    <w:p w:rsidR="001A0FB6" w:rsidRDefault="001A0FB6" w:rsidP="00DB04AB">
      <w:pPr>
        <w:jc w:val="both"/>
        <w:rPr>
          <w:rFonts w:ascii="Verdana" w:hAnsi="Verdana"/>
          <w:sz w:val="22"/>
          <w:szCs w:val="22"/>
        </w:rPr>
      </w:pPr>
    </w:p>
    <w:p w:rsidR="001A0FB6" w:rsidRDefault="001A0FB6" w:rsidP="00DB04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el caso de los miembros de la Carrera Judicial, la sede electrónica contiene un enlace a la extranet para que los jueces y magistrados puedan realizar trámites a través de la misma.</w:t>
      </w:r>
    </w:p>
    <w:p w:rsidR="001A0FB6" w:rsidRDefault="001A0FB6" w:rsidP="00DB04AB">
      <w:pPr>
        <w:jc w:val="both"/>
        <w:rPr>
          <w:rFonts w:ascii="Verdana" w:hAnsi="Verdana"/>
          <w:sz w:val="22"/>
          <w:szCs w:val="22"/>
        </w:rPr>
      </w:pPr>
    </w:p>
    <w:p w:rsidR="001A0FB6" w:rsidRPr="001A0FB6" w:rsidRDefault="001A0FB6" w:rsidP="00DB04AB">
      <w:pPr>
        <w:jc w:val="both"/>
        <w:rPr>
          <w:rFonts w:ascii="Verdana" w:hAnsi="Verdana"/>
          <w:b/>
          <w:sz w:val="22"/>
          <w:szCs w:val="22"/>
        </w:rPr>
      </w:pPr>
      <w:r w:rsidRPr="001A0FB6">
        <w:rPr>
          <w:rFonts w:ascii="Verdana" w:hAnsi="Verdana"/>
          <w:b/>
          <w:sz w:val="22"/>
          <w:szCs w:val="22"/>
        </w:rPr>
        <w:t>Acceso e identificación</w:t>
      </w:r>
    </w:p>
    <w:p w:rsidR="001A0FB6" w:rsidRDefault="001A0FB6" w:rsidP="00DB04AB">
      <w:pPr>
        <w:jc w:val="both"/>
        <w:rPr>
          <w:rFonts w:ascii="Verdana" w:hAnsi="Verdana"/>
          <w:sz w:val="22"/>
          <w:szCs w:val="22"/>
        </w:rPr>
      </w:pPr>
    </w:p>
    <w:p w:rsidR="001A0FB6" w:rsidRDefault="001A0FB6" w:rsidP="00DB04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El acceso a la sede electrónica puede realizarse desde el portal web del Consejo General del Poder Judicial en </w:t>
      </w:r>
      <w:hyperlink r:id="rId8" w:history="1">
        <w:r w:rsidRPr="00F231ED">
          <w:rPr>
            <w:rStyle w:val="Hipervnculo"/>
            <w:rFonts w:ascii="Verdana" w:hAnsi="Verdana"/>
            <w:sz w:val="22"/>
            <w:szCs w:val="22"/>
          </w:rPr>
          <w:t>https://www.poderjudicial.es/sede</w:t>
        </w:r>
      </w:hyperlink>
      <w:r>
        <w:rPr>
          <w:rFonts w:ascii="Verdana" w:hAnsi="Verdana"/>
          <w:sz w:val="22"/>
          <w:szCs w:val="22"/>
        </w:rPr>
        <w:t xml:space="preserve"> y a través del portal del Punto de Acceso General de la Administración de Justicia, que además enlaza con las sedes electrónicas judiciales de las Administraciones con competencia en materia judicial (</w:t>
      </w:r>
      <w:hyperlink r:id="rId9" w:history="1">
        <w:r w:rsidR="007B4B64" w:rsidRPr="00107628">
          <w:rPr>
            <w:rStyle w:val="Hipervnculo"/>
            <w:rFonts w:ascii="Verdana" w:hAnsi="Verdana"/>
            <w:sz w:val="22"/>
            <w:szCs w:val="22"/>
          </w:rPr>
          <w:t>https://administraciondejusticia.gob.es/</w:t>
        </w:r>
      </w:hyperlink>
      <w:r>
        <w:rPr>
          <w:rFonts w:ascii="Verdana" w:hAnsi="Verdana"/>
          <w:sz w:val="22"/>
          <w:szCs w:val="22"/>
        </w:rPr>
        <w:t>).</w:t>
      </w:r>
    </w:p>
    <w:p w:rsidR="001A0FB6" w:rsidRDefault="001A0FB6" w:rsidP="00DB04AB">
      <w:pPr>
        <w:jc w:val="both"/>
        <w:rPr>
          <w:rFonts w:ascii="Verdana" w:hAnsi="Verdana"/>
          <w:sz w:val="22"/>
          <w:szCs w:val="22"/>
        </w:rPr>
      </w:pPr>
    </w:p>
    <w:p w:rsidR="001A0FB6" w:rsidRDefault="001A0FB6" w:rsidP="00DB04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Los ciudadanos no necesitan identificarse para acceder a la sede electrónica, pero sí tendrán que hacerlo, así como firmar electrónicamente, si quieren realizar algún trámite.</w:t>
      </w:r>
    </w:p>
    <w:p w:rsidR="0019184D" w:rsidRDefault="0019184D" w:rsidP="00DB04AB">
      <w:pPr>
        <w:jc w:val="both"/>
        <w:rPr>
          <w:rFonts w:ascii="Verdana" w:hAnsi="Verdana"/>
          <w:sz w:val="22"/>
          <w:szCs w:val="22"/>
        </w:rPr>
      </w:pPr>
    </w:p>
    <w:p w:rsidR="0019184D" w:rsidRDefault="0019184D" w:rsidP="00DB04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firma electrónica puede realizarse mediante cualquier sistema que cuente con un registro previo como usuario que permita garantizar su identidad. Así, podrán emplearse los establecidos en la Ley 11/2007 y en el Real Decreto 1671/2009, debiendo utilizar sistemas de firma avanzada basada en certificado electrónico reconocido –incluyendo, en cualquier caso, los incorporados en el DNI electrónico- para la realización de aquellas actuaciones que requieran asegurar la integridad y autenticidad de documentos electrónicos.</w:t>
      </w:r>
    </w:p>
    <w:p w:rsidR="0019184D" w:rsidRDefault="0019184D" w:rsidP="00DB04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Para acceder a las opciones de Alta y Consulta del registro electrónico será necesario disponer de un certificado digital emitido por alguna de las siguientes autoridades: Fábrica Nacional de Moneda y Timbre (FNMT), </w:t>
      </w:r>
      <w:proofErr w:type="spellStart"/>
      <w:r>
        <w:rPr>
          <w:rFonts w:ascii="Verdana" w:hAnsi="Verdana"/>
          <w:sz w:val="22"/>
          <w:szCs w:val="22"/>
        </w:rPr>
        <w:t>Agència</w:t>
      </w:r>
      <w:proofErr w:type="spellEnd"/>
      <w:r>
        <w:rPr>
          <w:rFonts w:ascii="Verdana" w:hAnsi="Verdana"/>
          <w:sz w:val="22"/>
          <w:szCs w:val="22"/>
        </w:rPr>
        <w:t xml:space="preserve"> Catalana de </w:t>
      </w:r>
      <w:proofErr w:type="spellStart"/>
      <w:r>
        <w:rPr>
          <w:rFonts w:ascii="Verdana" w:hAnsi="Verdana"/>
          <w:sz w:val="22"/>
          <w:szCs w:val="22"/>
        </w:rPr>
        <w:t>Certificació</w:t>
      </w:r>
      <w:proofErr w:type="spellEnd"/>
      <w:r>
        <w:rPr>
          <w:rFonts w:ascii="Verdana" w:hAnsi="Verdana"/>
          <w:sz w:val="22"/>
          <w:szCs w:val="22"/>
        </w:rPr>
        <w:t xml:space="preserve"> (</w:t>
      </w:r>
      <w:proofErr w:type="spellStart"/>
      <w:r>
        <w:rPr>
          <w:rFonts w:ascii="Verdana" w:hAnsi="Verdana"/>
          <w:sz w:val="22"/>
          <w:szCs w:val="22"/>
        </w:rPr>
        <w:t>CATCerc</w:t>
      </w:r>
      <w:proofErr w:type="spellEnd"/>
      <w:r>
        <w:rPr>
          <w:rFonts w:ascii="Verdana" w:hAnsi="Verdana"/>
          <w:sz w:val="22"/>
          <w:szCs w:val="22"/>
        </w:rPr>
        <w:t xml:space="preserve">), Agencia Notarial de Certificación (ANCERT), ANF Autoridad de Certificación (ANF AC), Autoridad de Certificación de la Abogacía (ACA), Autoridad de Certificación </w:t>
      </w:r>
      <w:proofErr w:type="spellStart"/>
      <w:r>
        <w:rPr>
          <w:rFonts w:ascii="Verdana" w:hAnsi="Verdana"/>
          <w:sz w:val="22"/>
          <w:szCs w:val="22"/>
        </w:rPr>
        <w:t>HealthSign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Autoritat</w:t>
      </w:r>
      <w:proofErr w:type="spellEnd"/>
      <w:r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Certificació</w:t>
      </w:r>
      <w:proofErr w:type="spellEnd"/>
      <w:r>
        <w:rPr>
          <w:rFonts w:ascii="Verdana" w:hAnsi="Verdana"/>
          <w:sz w:val="22"/>
          <w:szCs w:val="22"/>
        </w:rPr>
        <w:t xml:space="preserve"> de la </w:t>
      </w:r>
      <w:proofErr w:type="spellStart"/>
      <w:r>
        <w:rPr>
          <w:rFonts w:ascii="Verdana" w:hAnsi="Verdana"/>
          <w:sz w:val="22"/>
          <w:szCs w:val="22"/>
        </w:rPr>
        <w:t>Comunitat</w:t>
      </w:r>
      <w:proofErr w:type="spellEnd"/>
      <w:r>
        <w:rPr>
          <w:rFonts w:ascii="Verdana" w:hAnsi="Verdana"/>
          <w:sz w:val="22"/>
          <w:szCs w:val="22"/>
        </w:rPr>
        <w:t xml:space="preserve"> Valenciana (ACCV), </w:t>
      </w:r>
      <w:proofErr w:type="spellStart"/>
      <w:r>
        <w:rPr>
          <w:rFonts w:ascii="Verdana" w:hAnsi="Verdana"/>
          <w:sz w:val="22"/>
          <w:szCs w:val="22"/>
        </w:rPr>
        <w:t>Camerfirma</w:t>
      </w:r>
      <w:proofErr w:type="spellEnd"/>
      <w:r>
        <w:rPr>
          <w:rFonts w:ascii="Verdana" w:hAnsi="Verdana"/>
          <w:sz w:val="22"/>
          <w:szCs w:val="22"/>
        </w:rPr>
        <w:t>, EDICOM, Firma Profesional o IZENPE.</w:t>
      </w:r>
    </w:p>
    <w:p w:rsidR="0019184D" w:rsidRDefault="0019184D" w:rsidP="00DB04AB">
      <w:pPr>
        <w:jc w:val="both"/>
        <w:rPr>
          <w:rFonts w:ascii="Verdana" w:hAnsi="Verdana"/>
          <w:sz w:val="22"/>
          <w:szCs w:val="22"/>
        </w:rPr>
      </w:pPr>
    </w:p>
    <w:p w:rsidR="0019184D" w:rsidRDefault="0019184D" w:rsidP="00DB04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sede electrónica contiene un enlace a la Plataforma </w:t>
      </w:r>
      <w:proofErr w:type="spellStart"/>
      <w:r>
        <w:rPr>
          <w:rFonts w:ascii="Verdana" w:hAnsi="Verdana"/>
          <w:sz w:val="22"/>
          <w:szCs w:val="22"/>
        </w:rPr>
        <w:t>VALIDe</w:t>
      </w:r>
      <w:proofErr w:type="spellEnd"/>
      <w:r>
        <w:rPr>
          <w:rFonts w:ascii="Verdana" w:hAnsi="Verdana"/>
          <w:sz w:val="22"/>
          <w:szCs w:val="22"/>
        </w:rPr>
        <w:t xml:space="preserve">, a través de la que </w:t>
      </w:r>
      <w:r w:rsidR="00970D6B">
        <w:rPr>
          <w:rFonts w:ascii="Verdana" w:hAnsi="Verdana"/>
          <w:sz w:val="22"/>
          <w:szCs w:val="22"/>
        </w:rPr>
        <w:t>el ciudadano podrá comprobar la validez de los certificados reconocidos por el CPGJ para utilizar sus servicios telemáticos.</w:t>
      </w:r>
    </w:p>
    <w:p w:rsidR="00970D6B" w:rsidRDefault="00970D6B" w:rsidP="00DB04AB">
      <w:pPr>
        <w:jc w:val="both"/>
        <w:rPr>
          <w:rFonts w:ascii="Verdana" w:hAnsi="Verdana"/>
          <w:sz w:val="22"/>
          <w:szCs w:val="22"/>
        </w:rPr>
      </w:pPr>
    </w:p>
    <w:p w:rsidR="00970D6B" w:rsidRPr="00970D6B" w:rsidRDefault="00970D6B" w:rsidP="00DB04AB">
      <w:pPr>
        <w:jc w:val="both"/>
        <w:rPr>
          <w:rFonts w:ascii="Verdana" w:hAnsi="Verdana"/>
          <w:b/>
          <w:sz w:val="22"/>
          <w:szCs w:val="22"/>
        </w:rPr>
      </w:pPr>
      <w:r w:rsidRPr="00970D6B">
        <w:rPr>
          <w:rFonts w:ascii="Verdana" w:hAnsi="Verdana"/>
          <w:b/>
          <w:sz w:val="22"/>
          <w:szCs w:val="22"/>
        </w:rPr>
        <w:t xml:space="preserve">Carta de servicios </w:t>
      </w:r>
    </w:p>
    <w:p w:rsidR="00970D6B" w:rsidRDefault="00970D6B" w:rsidP="00DB04AB">
      <w:pPr>
        <w:jc w:val="both"/>
        <w:rPr>
          <w:rFonts w:ascii="Verdana" w:hAnsi="Verdana"/>
          <w:sz w:val="22"/>
          <w:szCs w:val="22"/>
        </w:rPr>
      </w:pPr>
    </w:p>
    <w:p w:rsidR="00970D6B" w:rsidRDefault="00970D6B" w:rsidP="00DB04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sede electrónica del CGPJ permite que, a través del registro electrónico, los ciudadanos puedan presentar de forma telemática</w:t>
      </w:r>
      <w:r w:rsidR="00144D1F">
        <w:rPr>
          <w:rFonts w:ascii="Verdana" w:hAnsi="Verdana"/>
          <w:sz w:val="22"/>
          <w:szCs w:val="22"/>
        </w:rPr>
        <w:t xml:space="preserve"> documentos relativos a procedimientos cuya tramitación sea competencia del órgano de gobierno de los jueces, como</w:t>
      </w:r>
      <w:r>
        <w:rPr>
          <w:rFonts w:ascii="Verdana" w:hAnsi="Verdana"/>
          <w:sz w:val="22"/>
          <w:szCs w:val="22"/>
        </w:rPr>
        <w:t xml:space="preserve"> recursos administrativos, quejas, sugerencias, reclamaciones y denuncias por mal funcionamiento de la Administración de Justicia, así como realizar diversos trámites relacionados con cada uno de ellos.</w:t>
      </w:r>
    </w:p>
    <w:p w:rsidR="00970D6B" w:rsidRDefault="00970D6B" w:rsidP="00DB04AB">
      <w:pPr>
        <w:jc w:val="both"/>
        <w:rPr>
          <w:rFonts w:ascii="Verdana" w:hAnsi="Verdana"/>
          <w:sz w:val="22"/>
          <w:szCs w:val="22"/>
        </w:rPr>
      </w:pPr>
    </w:p>
    <w:p w:rsidR="00970D6B" w:rsidRDefault="00970D6B" w:rsidP="00DB04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Además, la sede electrónica contiene un enlace para acceder al Perfil del Contratante, un espacio donde se agrupa la información y los documentos relativos a la actividad contractual del Consejo, como órgano de contratación, con el fin de asegurar la transparencia y el acceso público a los mismos.</w:t>
      </w:r>
    </w:p>
    <w:p w:rsidR="00144D1F" w:rsidRDefault="00144D1F" w:rsidP="00DB04AB">
      <w:pPr>
        <w:jc w:val="both"/>
        <w:rPr>
          <w:rFonts w:ascii="Verdana" w:hAnsi="Verdana"/>
          <w:sz w:val="22"/>
          <w:szCs w:val="22"/>
        </w:rPr>
      </w:pPr>
    </w:p>
    <w:p w:rsidR="00144D1F" w:rsidRPr="00144D1F" w:rsidRDefault="00144D1F" w:rsidP="00DB04AB">
      <w:pPr>
        <w:jc w:val="both"/>
        <w:rPr>
          <w:rFonts w:ascii="Verdana" w:hAnsi="Verdana"/>
          <w:b/>
          <w:sz w:val="22"/>
          <w:szCs w:val="22"/>
        </w:rPr>
      </w:pPr>
      <w:r w:rsidRPr="00144D1F">
        <w:rPr>
          <w:rFonts w:ascii="Verdana" w:hAnsi="Verdana"/>
          <w:b/>
          <w:sz w:val="22"/>
          <w:szCs w:val="22"/>
        </w:rPr>
        <w:t>Verificación de documentos</w:t>
      </w:r>
      <w:r w:rsidR="00140974">
        <w:rPr>
          <w:rFonts w:ascii="Verdana" w:hAnsi="Verdana"/>
          <w:b/>
          <w:sz w:val="22"/>
          <w:szCs w:val="22"/>
        </w:rPr>
        <w:t xml:space="preserve"> y fecha y hora oficial</w:t>
      </w:r>
    </w:p>
    <w:p w:rsidR="00144D1F" w:rsidRDefault="00144D1F" w:rsidP="00DB04AB">
      <w:pPr>
        <w:jc w:val="both"/>
        <w:rPr>
          <w:rFonts w:ascii="Verdana" w:hAnsi="Verdana"/>
          <w:sz w:val="22"/>
          <w:szCs w:val="22"/>
        </w:rPr>
      </w:pPr>
    </w:p>
    <w:p w:rsidR="00144D1F" w:rsidRDefault="00144D1F" w:rsidP="00DB04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Los documentos presentados por vía telemática quedarán autenticados mediante un Código Seguro de Verificación (CSV) y su integridad podrá comprobarse mediante el acceso directo y gratuito a la sede electrónica. El CSV </w:t>
      </w:r>
      <w:r w:rsidRPr="00144D1F">
        <w:rPr>
          <w:rFonts w:ascii="Verdana" w:hAnsi="Verdana"/>
          <w:sz w:val="22"/>
          <w:szCs w:val="22"/>
        </w:rPr>
        <w:t>es una clave originada mediante un algoritmo matemático que designa un código único, por medio del cual es posible asociar de manera inequívoca un documento impreso con el original electrónico o copia autentica que corresponda.</w:t>
      </w:r>
    </w:p>
    <w:p w:rsidR="00140974" w:rsidRDefault="00140974" w:rsidP="00DB04AB">
      <w:pPr>
        <w:jc w:val="both"/>
        <w:rPr>
          <w:rFonts w:ascii="Verdana" w:hAnsi="Verdana"/>
          <w:sz w:val="22"/>
          <w:szCs w:val="22"/>
        </w:rPr>
      </w:pPr>
    </w:p>
    <w:p w:rsidR="00140974" w:rsidRDefault="00140974" w:rsidP="00DB04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Por último, la sede electrónica indica la fecha y hora oficial sincronizada con el Real Observatorio de la Armada, en relación con la validez legal de cualquier trámite electrónico que se lleve a cabo.</w:t>
      </w:r>
    </w:p>
    <w:sectPr w:rsidR="00140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00" w:rsidRDefault="003E2D00">
      <w:r>
        <w:separator/>
      </w:r>
    </w:p>
  </w:endnote>
  <w:endnote w:type="continuationSeparator" w:id="0">
    <w:p w:rsidR="003E2D00" w:rsidRDefault="003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42" w:rsidRDefault="00857B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56" w:rsidRDefault="00C3101F" w:rsidP="00761056">
    <w:pPr>
      <w:pStyle w:val="Piedepgina"/>
      <w:ind w:firstLine="708"/>
      <w:rPr>
        <w:rFonts w:ascii="Verdana" w:hAnsi="Verdana"/>
        <w:sz w:val="20"/>
        <w:szCs w:val="20"/>
      </w:rPr>
    </w:pPr>
    <w:r>
      <w:rPr>
        <w:rFonts w:ascii="Verdana" w:hAnsi="Verdana"/>
        <w:noProof/>
        <w:color w:val="C00000"/>
        <w:sz w:val="20"/>
        <w:szCs w:val="20"/>
      </w:rPr>
      <w:drawing>
        <wp:anchor distT="0" distB="0" distL="114300" distR="114300" simplePos="0" relativeHeight="251660288" behindDoc="1" locked="0" layoutInCell="1" allowOverlap="1" wp14:anchorId="4BA4ADDC" wp14:editId="07AEAB5D">
          <wp:simplePos x="0" y="0"/>
          <wp:positionH relativeFrom="column">
            <wp:posOffset>34290</wp:posOffset>
          </wp:positionH>
          <wp:positionV relativeFrom="paragraph">
            <wp:posOffset>130175</wp:posOffset>
          </wp:positionV>
          <wp:extent cx="285750" cy="207645"/>
          <wp:effectExtent l="0" t="0" r="0" b="1905"/>
          <wp:wrapTight wrapText="bothSides">
            <wp:wrapPolygon edited="0">
              <wp:start x="0" y="0"/>
              <wp:lineTo x="0" y="19817"/>
              <wp:lineTo x="20160" y="19817"/>
              <wp:lineTo x="20160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74D" w:rsidRPr="0064174D">
      <w:rPr>
        <w:rFonts w:ascii="Verdana" w:hAnsi="Verdana"/>
        <w:noProof/>
        <w:color w:val="C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0CB7A" wp14:editId="7ABAE61A">
              <wp:simplePos x="0" y="0"/>
              <wp:positionH relativeFrom="column">
                <wp:posOffset>-3810</wp:posOffset>
              </wp:positionH>
              <wp:positionV relativeFrom="paragraph">
                <wp:posOffset>58420</wp:posOffset>
              </wp:positionV>
              <wp:extent cx="5407200" cy="0"/>
              <wp:effectExtent l="0" t="0" r="2222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72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4.6pt" to="425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" strokecolor="#c00000" strokeweight=".5pt"/>
          </w:pict>
        </mc:Fallback>
      </mc:AlternateContent>
    </w:r>
  </w:p>
  <w:p w:rsidR="00761056" w:rsidRPr="00761056" w:rsidRDefault="00761056" w:rsidP="00761056">
    <w:pPr>
      <w:pStyle w:val="Piedepgina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 </w:t>
    </w:r>
    <w:r w:rsidRPr="00761056">
      <w:rPr>
        <w:rFonts w:ascii="Verdana" w:hAnsi="Verdana"/>
        <w:sz w:val="20"/>
        <w:szCs w:val="20"/>
      </w:rPr>
      <w:t>@PoderJudicialE</w:t>
    </w:r>
    <w:r w:rsidR="00857B42">
      <w:rPr>
        <w:rFonts w:ascii="Verdana" w:hAnsi="Verdana"/>
        <w:sz w:val="20"/>
        <w:szCs w:val="20"/>
      </w:rPr>
      <w:t>s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hyperlink r:id="rId2" w:history="1">
      <w:r w:rsidRPr="00EC73BD">
        <w:rPr>
          <w:rStyle w:val="Hipervnculo"/>
          <w:rFonts w:ascii="Verdana" w:hAnsi="Verdana"/>
          <w:sz w:val="20"/>
          <w:szCs w:val="20"/>
        </w:rPr>
        <w:t>www.poderjudicial.es</w:t>
      </w:r>
    </w:hyperlink>
    <w:r>
      <w:rPr>
        <w:rFonts w:ascii="Verdana" w:hAnsi="Verdana"/>
        <w:sz w:val="20"/>
        <w:szCs w:val="20"/>
      </w:rPr>
      <w:t xml:space="preserve"> </w:t>
    </w:r>
  </w:p>
  <w:p w:rsidR="00761056" w:rsidRDefault="0076105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42" w:rsidRDefault="00857B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00" w:rsidRDefault="003E2D00">
      <w:r>
        <w:separator/>
      </w:r>
    </w:p>
  </w:footnote>
  <w:footnote w:type="continuationSeparator" w:id="0">
    <w:p w:rsidR="003E2D00" w:rsidRDefault="003E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42" w:rsidRDefault="00857B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70" w:rsidRDefault="00E24154">
    <w:pPr>
      <w:pStyle w:val="Encabezado"/>
    </w:pPr>
    <w:r>
      <w:rPr>
        <w:noProof/>
      </w:rPr>
      <w:drawing>
        <wp:inline distT="0" distB="0" distL="0" distR="0" wp14:anchorId="3A5F6BEE" wp14:editId="79BC6612">
          <wp:extent cx="691610" cy="103531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226" cy="103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5470" w:rsidRDefault="0031547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42" w:rsidRDefault="00857B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7786"/>
    <w:multiLevelType w:val="hybridMultilevel"/>
    <w:tmpl w:val="02DCE94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2"/>
    <w:rsid w:val="00010C2A"/>
    <w:rsid w:val="00012095"/>
    <w:rsid w:val="00015AF9"/>
    <w:rsid w:val="00016265"/>
    <w:rsid w:val="00022CF2"/>
    <w:rsid w:val="00032FF2"/>
    <w:rsid w:val="00033F0A"/>
    <w:rsid w:val="0003507D"/>
    <w:rsid w:val="00046CE3"/>
    <w:rsid w:val="00050EC6"/>
    <w:rsid w:val="00051E1C"/>
    <w:rsid w:val="00051FBA"/>
    <w:rsid w:val="00064452"/>
    <w:rsid w:val="00071BDE"/>
    <w:rsid w:val="00076F8B"/>
    <w:rsid w:val="00090115"/>
    <w:rsid w:val="000919EC"/>
    <w:rsid w:val="000A0EEB"/>
    <w:rsid w:val="000A32AF"/>
    <w:rsid w:val="000D5AD8"/>
    <w:rsid w:val="0010334D"/>
    <w:rsid w:val="00104A8B"/>
    <w:rsid w:val="00106737"/>
    <w:rsid w:val="00106D52"/>
    <w:rsid w:val="0010700F"/>
    <w:rsid w:val="00126082"/>
    <w:rsid w:val="00136FBE"/>
    <w:rsid w:val="0013733B"/>
    <w:rsid w:val="00140974"/>
    <w:rsid w:val="00144D1F"/>
    <w:rsid w:val="00156167"/>
    <w:rsid w:val="00162549"/>
    <w:rsid w:val="00163BFD"/>
    <w:rsid w:val="00171DBF"/>
    <w:rsid w:val="0019184D"/>
    <w:rsid w:val="001A0FB6"/>
    <w:rsid w:val="001A7292"/>
    <w:rsid w:val="001C18E9"/>
    <w:rsid w:val="001C67A6"/>
    <w:rsid w:val="001D5AE3"/>
    <w:rsid w:val="001F6F10"/>
    <w:rsid w:val="00213F4B"/>
    <w:rsid w:val="0022361A"/>
    <w:rsid w:val="002308C3"/>
    <w:rsid w:val="002327EC"/>
    <w:rsid w:val="002C056F"/>
    <w:rsid w:val="002E4FA9"/>
    <w:rsid w:val="002F1E56"/>
    <w:rsid w:val="00301823"/>
    <w:rsid w:val="00302FDB"/>
    <w:rsid w:val="0030598D"/>
    <w:rsid w:val="00313314"/>
    <w:rsid w:val="00315470"/>
    <w:rsid w:val="003206E7"/>
    <w:rsid w:val="00324E38"/>
    <w:rsid w:val="00331815"/>
    <w:rsid w:val="00340DA9"/>
    <w:rsid w:val="00346B6C"/>
    <w:rsid w:val="00361CA4"/>
    <w:rsid w:val="003713EE"/>
    <w:rsid w:val="00393527"/>
    <w:rsid w:val="00393A4F"/>
    <w:rsid w:val="00397E57"/>
    <w:rsid w:val="003A070C"/>
    <w:rsid w:val="003A36FB"/>
    <w:rsid w:val="003A5909"/>
    <w:rsid w:val="003C091C"/>
    <w:rsid w:val="003D101B"/>
    <w:rsid w:val="003D2555"/>
    <w:rsid w:val="003D7384"/>
    <w:rsid w:val="003D79A0"/>
    <w:rsid w:val="003E2D00"/>
    <w:rsid w:val="003E470E"/>
    <w:rsid w:val="003F2B54"/>
    <w:rsid w:val="00415BC1"/>
    <w:rsid w:val="00417AFB"/>
    <w:rsid w:val="0042180E"/>
    <w:rsid w:val="00423858"/>
    <w:rsid w:val="00424C43"/>
    <w:rsid w:val="004251B2"/>
    <w:rsid w:val="00430248"/>
    <w:rsid w:val="00441A4E"/>
    <w:rsid w:val="00464F54"/>
    <w:rsid w:val="00483116"/>
    <w:rsid w:val="00491E79"/>
    <w:rsid w:val="00494CB8"/>
    <w:rsid w:val="004A3D73"/>
    <w:rsid w:val="004B53EF"/>
    <w:rsid w:val="004E5BFE"/>
    <w:rsid w:val="004F14CA"/>
    <w:rsid w:val="004F1CC8"/>
    <w:rsid w:val="00506ABA"/>
    <w:rsid w:val="00534123"/>
    <w:rsid w:val="00537978"/>
    <w:rsid w:val="0054006E"/>
    <w:rsid w:val="00540564"/>
    <w:rsid w:val="0055710E"/>
    <w:rsid w:val="00562494"/>
    <w:rsid w:val="0058743A"/>
    <w:rsid w:val="005C52F8"/>
    <w:rsid w:val="005D3014"/>
    <w:rsid w:val="005D481D"/>
    <w:rsid w:val="005D53D8"/>
    <w:rsid w:val="005F2B7B"/>
    <w:rsid w:val="005F3122"/>
    <w:rsid w:val="0060437E"/>
    <w:rsid w:val="00630FC3"/>
    <w:rsid w:val="00631016"/>
    <w:rsid w:val="00637EF5"/>
    <w:rsid w:val="006410C6"/>
    <w:rsid w:val="0064174D"/>
    <w:rsid w:val="006421E9"/>
    <w:rsid w:val="00643DB8"/>
    <w:rsid w:val="00644957"/>
    <w:rsid w:val="006451A1"/>
    <w:rsid w:val="00646D75"/>
    <w:rsid w:val="0065235C"/>
    <w:rsid w:val="006544FD"/>
    <w:rsid w:val="00665E4A"/>
    <w:rsid w:val="00672C43"/>
    <w:rsid w:val="006C00F5"/>
    <w:rsid w:val="006C17FA"/>
    <w:rsid w:val="006C60F0"/>
    <w:rsid w:val="00711656"/>
    <w:rsid w:val="00715028"/>
    <w:rsid w:val="0072433B"/>
    <w:rsid w:val="00736261"/>
    <w:rsid w:val="00743B16"/>
    <w:rsid w:val="007518F6"/>
    <w:rsid w:val="00761056"/>
    <w:rsid w:val="00791550"/>
    <w:rsid w:val="007A028A"/>
    <w:rsid w:val="007B4B64"/>
    <w:rsid w:val="007B4FA7"/>
    <w:rsid w:val="007B6BF5"/>
    <w:rsid w:val="0080017D"/>
    <w:rsid w:val="00801AB7"/>
    <w:rsid w:val="0082559A"/>
    <w:rsid w:val="008344F9"/>
    <w:rsid w:val="00850FE1"/>
    <w:rsid w:val="008556C2"/>
    <w:rsid w:val="00857B42"/>
    <w:rsid w:val="00870C45"/>
    <w:rsid w:val="00881BEB"/>
    <w:rsid w:val="008A1414"/>
    <w:rsid w:val="008B18B6"/>
    <w:rsid w:val="008C6BBC"/>
    <w:rsid w:val="008D1265"/>
    <w:rsid w:val="008D40EE"/>
    <w:rsid w:val="00900C88"/>
    <w:rsid w:val="0090452B"/>
    <w:rsid w:val="0091183E"/>
    <w:rsid w:val="00912551"/>
    <w:rsid w:val="00914A2E"/>
    <w:rsid w:val="00942161"/>
    <w:rsid w:val="00945BB0"/>
    <w:rsid w:val="00950803"/>
    <w:rsid w:val="00952050"/>
    <w:rsid w:val="00966B79"/>
    <w:rsid w:val="00970D6B"/>
    <w:rsid w:val="00985EC2"/>
    <w:rsid w:val="009901B3"/>
    <w:rsid w:val="00995DE0"/>
    <w:rsid w:val="009A1CE4"/>
    <w:rsid w:val="009A6D12"/>
    <w:rsid w:val="009A7C7B"/>
    <w:rsid w:val="009B3D1F"/>
    <w:rsid w:val="009B3ED1"/>
    <w:rsid w:val="009E2F15"/>
    <w:rsid w:val="009E3FD2"/>
    <w:rsid w:val="009E735D"/>
    <w:rsid w:val="009F18B8"/>
    <w:rsid w:val="009F450F"/>
    <w:rsid w:val="00A20D83"/>
    <w:rsid w:val="00A276BE"/>
    <w:rsid w:val="00A37687"/>
    <w:rsid w:val="00A568C4"/>
    <w:rsid w:val="00A6146F"/>
    <w:rsid w:val="00A62B2D"/>
    <w:rsid w:val="00A80E14"/>
    <w:rsid w:val="00AB108A"/>
    <w:rsid w:val="00AB629D"/>
    <w:rsid w:val="00AD1F86"/>
    <w:rsid w:val="00AD4CB5"/>
    <w:rsid w:val="00AE1CE2"/>
    <w:rsid w:val="00AF2D66"/>
    <w:rsid w:val="00B04673"/>
    <w:rsid w:val="00B367CC"/>
    <w:rsid w:val="00B4046E"/>
    <w:rsid w:val="00B54748"/>
    <w:rsid w:val="00B54EA2"/>
    <w:rsid w:val="00B642BB"/>
    <w:rsid w:val="00B95DA0"/>
    <w:rsid w:val="00B96B80"/>
    <w:rsid w:val="00BB25DB"/>
    <w:rsid w:val="00BB353D"/>
    <w:rsid w:val="00BB4422"/>
    <w:rsid w:val="00BD7006"/>
    <w:rsid w:val="00C20CC2"/>
    <w:rsid w:val="00C3056A"/>
    <w:rsid w:val="00C3101F"/>
    <w:rsid w:val="00C5648C"/>
    <w:rsid w:val="00C6112C"/>
    <w:rsid w:val="00C61D34"/>
    <w:rsid w:val="00C6342A"/>
    <w:rsid w:val="00C71284"/>
    <w:rsid w:val="00C741D9"/>
    <w:rsid w:val="00C83433"/>
    <w:rsid w:val="00CA7961"/>
    <w:rsid w:val="00CB521A"/>
    <w:rsid w:val="00CB568C"/>
    <w:rsid w:val="00CB67C9"/>
    <w:rsid w:val="00CC0587"/>
    <w:rsid w:val="00CD2087"/>
    <w:rsid w:val="00CD568F"/>
    <w:rsid w:val="00CD6292"/>
    <w:rsid w:val="00CF06EB"/>
    <w:rsid w:val="00CF4BD2"/>
    <w:rsid w:val="00D01A09"/>
    <w:rsid w:val="00D04C8F"/>
    <w:rsid w:val="00D073A9"/>
    <w:rsid w:val="00D1149E"/>
    <w:rsid w:val="00D133D9"/>
    <w:rsid w:val="00D179DB"/>
    <w:rsid w:val="00D311EE"/>
    <w:rsid w:val="00D521F1"/>
    <w:rsid w:val="00D60894"/>
    <w:rsid w:val="00D84AEC"/>
    <w:rsid w:val="00D90B9C"/>
    <w:rsid w:val="00D963FF"/>
    <w:rsid w:val="00D964BB"/>
    <w:rsid w:val="00DA057B"/>
    <w:rsid w:val="00DA4EA3"/>
    <w:rsid w:val="00DB04AB"/>
    <w:rsid w:val="00DB1E5F"/>
    <w:rsid w:val="00DB2C75"/>
    <w:rsid w:val="00DB3654"/>
    <w:rsid w:val="00DD2891"/>
    <w:rsid w:val="00DD5C2B"/>
    <w:rsid w:val="00DE3AF9"/>
    <w:rsid w:val="00DE63BA"/>
    <w:rsid w:val="00DF4A72"/>
    <w:rsid w:val="00E07033"/>
    <w:rsid w:val="00E1215C"/>
    <w:rsid w:val="00E20FA9"/>
    <w:rsid w:val="00E21542"/>
    <w:rsid w:val="00E24154"/>
    <w:rsid w:val="00E247A1"/>
    <w:rsid w:val="00E44205"/>
    <w:rsid w:val="00E4695A"/>
    <w:rsid w:val="00E656C7"/>
    <w:rsid w:val="00E65DD7"/>
    <w:rsid w:val="00E9358A"/>
    <w:rsid w:val="00E960AF"/>
    <w:rsid w:val="00EA0EF4"/>
    <w:rsid w:val="00EA1059"/>
    <w:rsid w:val="00EB56D0"/>
    <w:rsid w:val="00ED0BA6"/>
    <w:rsid w:val="00ED7260"/>
    <w:rsid w:val="00EE68BF"/>
    <w:rsid w:val="00EF1025"/>
    <w:rsid w:val="00EF7E49"/>
    <w:rsid w:val="00F04D3E"/>
    <w:rsid w:val="00F133CF"/>
    <w:rsid w:val="00F25587"/>
    <w:rsid w:val="00F35A2D"/>
    <w:rsid w:val="00F404C6"/>
    <w:rsid w:val="00F41DBA"/>
    <w:rsid w:val="00F42B45"/>
    <w:rsid w:val="00F42D60"/>
    <w:rsid w:val="00F43F5E"/>
    <w:rsid w:val="00F51667"/>
    <w:rsid w:val="00F60DD7"/>
    <w:rsid w:val="00F61CEB"/>
    <w:rsid w:val="00FA2DBF"/>
    <w:rsid w:val="00FA3A80"/>
    <w:rsid w:val="00FC3156"/>
    <w:rsid w:val="00FD4201"/>
    <w:rsid w:val="00FE5F8E"/>
    <w:rsid w:val="00FE7A22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6E7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E5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5F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5F8E"/>
    <w:pPr>
      <w:ind w:left="720"/>
      <w:contextualSpacing/>
    </w:pPr>
  </w:style>
  <w:style w:type="table" w:styleId="Tablaconcuadrcula">
    <w:name w:val="Table Grid"/>
    <w:basedOn w:val="Tablanormal"/>
    <w:rsid w:val="003D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761056"/>
    <w:rPr>
      <w:sz w:val="24"/>
      <w:szCs w:val="24"/>
    </w:rPr>
  </w:style>
  <w:style w:type="character" w:styleId="Hipervnculo">
    <w:name w:val="Hyperlink"/>
    <w:basedOn w:val="Fuentedeprrafopredeter"/>
    <w:rsid w:val="00761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6E7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E5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5F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5F8E"/>
    <w:pPr>
      <w:ind w:left="720"/>
      <w:contextualSpacing/>
    </w:pPr>
  </w:style>
  <w:style w:type="table" w:styleId="Tablaconcuadrcula">
    <w:name w:val="Table Grid"/>
    <w:basedOn w:val="Tablanormal"/>
    <w:rsid w:val="003D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761056"/>
    <w:rPr>
      <w:sz w:val="24"/>
      <w:szCs w:val="24"/>
    </w:rPr>
  </w:style>
  <w:style w:type="character" w:styleId="Hipervnculo">
    <w:name w:val="Hyperlink"/>
    <w:basedOn w:val="Fuentedeprrafopredeter"/>
    <w:rsid w:val="00761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erjudicial.es/se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inistraciondejusticia.gob.e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erjudicial.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CGPJ informa</vt:lpstr>
    </vt:vector>
  </TitlesOfParts>
  <Company>CENDOJ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CGPJ informa</dc:title>
  <dc:creator>azurita</dc:creator>
  <cp:lastModifiedBy>Jose Asenjo Vallejo</cp:lastModifiedBy>
  <cp:revision>6</cp:revision>
  <cp:lastPrinted>2017-11-30T13:23:00Z</cp:lastPrinted>
  <dcterms:created xsi:type="dcterms:W3CDTF">2019-12-13T11:17:00Z</dcterms:created>
  <dcterms:modified xsi:type="dcterms:W3CDTF">2019-12-18T10:51:00Z</dcterms:modified>
</cp:coreProperties>
</file>