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D40" w:rsidRPr="007D066B" w:rsidRDefault="00BB0D40" w:rsidP="00BB0D40">
      <w:pPr>
        <w:pBdr>
          <w:bottom w:val="single" w:sz="4" w:space="1" w:color="auto"/>
        </w:pBdr>
        <w:autoSpaceDE w:val="0"/>
        <w:autoSpaceDN w:val="0"/>
        <w:adjustRightInd w:val="0"/>
        <w:spacing w:after="120" w:line="276" w:lineRule="auto"/>
        <w:jc w:val="center"/>
        <w:rPr>
          <w:rFonts w:ascii="Arial" w:eastAsia="Calibri" w:hAnsi="Arial" w:cs="Arial"/>
          <w:b/>
          <w:iCs/>
          <w:color w:val="000000"/>
          <w:sz w:val="24"/>
          <w:szCs w:val="24"/>
          <w:lang w:val="es-ES" w:eastAsia="en-US"/>
        </w:rPr>
      </w:pPr>
      <w:r w:rsidRPr="007D066B">
        <w:rPr>
          <w:rFonts w:ascii="Arial" w:eastAsia="Calibri" w:hAnsi="Arial" w:cs="Arial"/>
          <w:b/>
          <w:iCs/>
          <w:color w:val="000000"/>
          <w:sz w:val="24"/>
          <w:szCs w:val="24"/>
          <w:lang w:val="es-ES" w:eastAsia="en-US"/>
        </w:rPr>
        <w:t xml:space="preserve">RESOLUCIÓN DEL MINISTRO DE JUSTICIA </w:t>
      </w:r>
      <w:r>
        <w:rPr>
          <w:rFonts w:ascii="Arial" w:eastAsia="Calibri" w:hAnsi="Arial" w:cs="Arial"/>
          <w:b/>
          <w:iCs/>
          <w:color w:val="000000"/>
          <w:sz w:val="24"/>
          <w:szCs w:val="24"/>
          <w:lang w:val="es-ES" w:eastAsia="en-US"/>
        </w:rPr>
        <w:t xml:space="preserve">POR </w:t>
      </w:r>
      <w:r w:rsidRPr="007D066B">
        <w:rPr>
          <w:rFonts w:ascii="Arial" w:eastAsia="Calibri" w:hAnsi="Arial" w:cs="Arial"/>
          <w:b/>
          <w:iCs/>
          <w:color w:val="000000"/>
          <w:sz w:val="24"/>
          <w:szCs w:val="24"/>
          <w:lang w:val="es-ES" w:eastAsia="en-US"/>
        </w:rPr>
        <w:t xml:space="preserve">LA QUE </w:t>
      </w:r>
      <w:r w:rsidR="00FE3AC1">
        <w:rPr>
          <w:rFonts w:ascii="Arial" w:eastAsia="Calibri" w:hAnsi="Arial" w:cs="Arial"/>
          <w:b/>
          <w:iCs/>
          <w:color w:val="000000"/>
          <w:sz w:val="24"/>
          <w:szCs w:val="24"/>
          <w:lang w:val="es-ES" w:eastAsia="en-US"/>
        </w:rPr>
        <w:t xml:space="preserve">SE ADAPTA LA </w:t>
      </w:r>
      <w:r w:rsidRPr="007D066B">
        <w:rPr>
          <w:rFonts w:ascii="Arial" w:eastAsia="Calibri" w:hAnsi="Arial" w:cs="Arial"/>
          <w:b/>
          <w:iCs/>
          <w:color w:val="000000"/>
          <w:sz w:val="24"/>
          <w:szCs w:val="24"/>
          <w:lang w:val="es-ES" w:eastAsia="en-US"/>
        </w:rPr>
        <w:t>COBERTURA DE LOS SERVICIOS ESENCIALES</w:t>
      </w:r>
      <w:r>
        <w:rPr>
          <w:rFonts w:ascii="Arial" w:eastAsia="Calibri" w:hAnsi="Arial" w:cs="Arial"/>
          <w:b/>
          <w:iCs/>
          <w:color w:val="000000"/>
          <w:sz w:val="24"/>
          <w:szCs w:val="24"/>
          <w:lang w:val="es-ES" w:eastAsia="en-US"/>
        </w:rPr>
        <w:t xml:space="preserve"> DE LA ADMINISTRACIÓN DE JUSTICIA</w:t>
      </w:r>
      <w:r w:rsidR="00151DE1">
        <w:rPr>
          <w:rFonts w:ascii="Arial" w:eastAsia="Calibri" w:hAnsi="Arial" w:cs="Arial"/>
          <w:b/>
          <w:iCs/>
          <w:color w:val="000000"/>
          <w:sz w:val="24"/>
          <w:szCs w:val="24"/>
          <w:lang w:val="es-ES" w:eastAsia="en-US"/>
        </w:rPr>
        <w:t xml:space="preserve"> AL REAL DECRETO </w:t>
      </w:r>
      <w:r w:rsidR="00FA42E7">
        <w:rPr>
          <w:rFonts w:ascii="Arial" w:eastAsia="Calibri" w:hAnsi="Arial" w:cs="Arial"/>
          <w:b/>
          <w:iCs/>
          <w:color w:val="000000"/>
          <w:sz w:val="24"/>
          <w:szCs w:val="24"/>
          <w:lang w:val="es-ES" w:eastAsia="en-US"/>
        </w:rPr>
        <w:t xml:space="preserve">LEY </w:t>
      </w:r>
      <w:r w:rsidR="002F551E">
        <w:rPr>
          <w:rFonts w:ascii="Arial" w:eastAsia="Calibri" w:hAnsi="Arial" w:cs="Arial"/>
          <w:b/>
          <w:iCs/>
          <w:color w:val="000000"/>
          <w:sz w:val="24"/>
          <w:szCs w:val="24"/>
          <w:lang w:val="es-ES" w:eastAsia="en-US"/>
        </w:rPr>
        <w:t>10</w:t>
      </w:r>
      <w:r w:rsidR="00151DE1">
        <w:rPr>
          <w:rFonts w:ascii="Arial" w:eastAsia="Calibri" w:hAnsi="Arial" w:cs="Arial"/>
          <w:b/>
          <w:iCs/>
          <w:color w:val="000000"/>
          <w:sz w:val="24"/>
          <w:szCs w:val="24"/>
          <w:lang w:val="es-ES" w:eastAsia="en-US"/>
        </w:rPr>
        <w:t>/2020</w:t>
      </w:r>
      <w:r w:rsidR="00FA42E7">
        <w:rPr>
          <w:rFonts w:ascii="Arial" w:eastAsia="Calibri" w:hAnsi="Arial" w:cs="Arial"/>
          <w:b/>
          <w:iCs/>
          <w:color w:val="000000"/>
          <w:sz w:val="24"/>
          <w:szCs w:val="24"/>
          <w:lang w:val="es-ES" w:eastAsia="en-US"/>
        </w:rPr>
        <w:t xml:space="preserve"> DE 29 DE MARZO DE 2020</w:t>
      </w:r>
    </w:p>
    <w:p w:rsidR="00BB0D40" w:rsidRDefault="00BB0D40" w:rsidP="00BB0D40">
      <w:pPr>
        <w:spacing w:after="120" w:line="276" w:lineRule="auto"/>
        <w:ind w:firstLine="709"/>
        <w:jc w:val="both"/>
        <w:rPr>
          <w:rFonts w:ascii="Arial" w:hAnsi="Arial" w:cs="Arial"/>
          <w:iCs/>
          <w:color w:val="000000"/>
          <w:sz w:val="24"/>
          <w:szCs w:val="24"/>
          <w:lang w:val="es-ES"/>
        </w:rPr>
      </w:pPr>
    </w:p>
    <w:p w:rsidR="003A591B" w:rsidRPr="00645552" w:rsidRDefault="003A591B" w:rsidP="00BB0D40">
      <w:pPr>
        <w:spacing w:after="120" w:line="276" w:lineRule="auto"/>
        <w:ind w:firstLine="709"/>
        <w:jc w:val="both"/>
        <w:rPr>
          <w:rFonts w:ascii="Arial" w:hAnsi="Arial" w:cs="Arial"/>
          <w:iCs/>
          <w:color w:val="000000"/>
          <w:sz w:val="24"/>
          <w:szCs w:val="24"/>
          <w:lang w:val="es-ES"/>
        </w:rPr>
      </w:pPr>
    </w:p>
    <w:p w:rsidR="00BB0D40" w:rsidRPr="00645552" w:rsidRDefault="00BB0D40" w:rsidP="00BB0D40">
      <w:pPr>
        <w:spacing w:after="120" w:line="276" w:lineRule="auto"/>
        <w:ind w:firstLine="709"/>
        <w:jc w:val="both"/>
        <w:rPr>
          <w:rFonts w:ascii="Arial" w:hAnsi="Arial" w:cs="Arial"/>
          <w:iCs/>
          <w:color w:val="000000"/>
          <w:sz w:val="24"/>
          <w:szCs w:val="24"/>
          <w:lang w:val="es-ES"/>
        </w:rPr>
      </w:pPr>
      <w:r w:rsidRPr="00645552">
        <w:rPr>
          <w:rFonts w:ascii="Arial" w:hAnsi="Arial" w:cs="Arial"/>
          <w:iCs/>
          <w:color w:val="000000"/>
          <w:sz w:val="24"/>
          <w:szCs w:val="24"/>
          <w:lang w:val="es-ES"/>
        </w:rPr>
        <w:t>El Real Decreto 463/2020, de 14 de marzo, por el que se declara el estado de alarma para la gestión de la situación de crisis sanitaria ocasionada por el COVID-19 adoptó una serie de medidas restrictivas respecto de la movilidad de los ciudadanos. Como consecuencia, en el ámbito de la Administración de Justicia se acordaron entre el Consejo General del poder Judicial, la Fiscalía General del Estado y el Ministerio de Justicia los servicios esenciales que deberían ser cubiertos en todo caso, reduciendo así el número de funcionarios que debía desplazarse diariamente para realizar presencialmente su trabajo.</w:t>
      </w:r>
    </w:p>
    <w:p w:rsidR="00BB0D40" w:rsidRPr="00645552" w:rsidRDefault="00BB0D40" w:rsidP="00BB0D40">
      <w:pPr>
        <w:spacing w:after="120" w:line="276" w:lineRule="auto"/>
        <w:ind w:firstLine="709"/>
        <w:jc w:val="both"/>
        <w:rPr>
          <w:rFonts w:ascii="Arial" w:hAnsi="Arial" w:cs="Arial"/>
          <w:iCs/>
          <w:color w:val="000000"/>
          <w:sz w:val="24"/>
          <w:szCs w:val="24"/>
          <w:lang w:val="es-ES"/>
        </w:rPr>
      </w:pPr>
      <w:r w:rsidRPr="00645552">
        <w:rPr>
          <w:rFonts w:ascii="Arial" w:hAnsi="Arial" w:cs="Arial"/>
          <w:iCs/>
          <w:color w:val="000000"/>
          <w:sz w:val="24"/>
          <w:szCs w:val="24"/>
          <w:lang w:val="es-ES"/>
        </w:rPr>
        <w:t xml:space="preserve">Estas medidas restrictivas se han visto ampliadas por el Real Decreto </w:t>
      </w:r>
      <w:r w:rsidR="002F551E">
        <w:rPr>
          <w:rFonts w:ascii="Arial" w:hAnsi="Arial" w:cs="Arial"/>
          <w:iCs/>
          <w:color w:val="000000"/>
          <w:sz w:val="24"/>
          <w:szCs w:val="24"/>
          <w:lang w:val="es-ES"/>
        </w:rPr>
        <w:t>Ley 10</w:t>
      </w:r>
      <w:r w:rsidRPr="00645552">
        <w:rPr>
          <w:rFonts w:ascii="Arial" w:hAnsi="Arial" w:cs="Arial"/>
          <w:iCs/>
          <w:color w:val="000000"/>
          <w:sz w:val="24"/>
          <w:szCs w:val="24"/>
          <w:lang w:val="es-ES"/>
        </w:rPr>
        <w:t>/2020</w:t>
      </w:r>
      <w:r w:rsidR="00FA42E7">
        <w:rPr>
          <w:rFonts w:ascii="Arial" w:hAnsi="Arial" w:cs="Arial"/>
          <w:iCs/>
          <w:color w:val="000000"/>
          <w:sz w:val="24"/>
          <w:szCs w:val="24"/>
          <w:lang w:val="es-ES"/>
        </w:rPr>
        <w:t xml:space="preserve"> de 29 de marzo de 2020</w:t>
      </w:r>
      <w:r w:rsidRPr="00645552">
        <w:rPr>
          <w:rFonts w:ascii="Arial" w:hAnsi="Arial" w:cs="Arial"/>
          <w:iCs/>
          <w:color w:val="000000"/>
          <w:sz w:val="24"/>
          <w:szCs w:val="24"/>
          <w:lang w:val="es-ES"/>
        </w:rPr>
        <w:t xml:space="preserve">, que limita los movimientos personales para el desempeño del trabajo a los mínimos declarados esenciales durante el estado de alarma. Esta nueva resolución </w:t>
      </w:r>
      <w:r>
        <w:rPr>
          <w:rFonts w:ascii="Arial" w:hAnsi="Arial" w:cs="Arial"/>
          <w:iCs/>
          <w:color w:val="000000"/>
          <w:sz w:val="24"/>
          <w:szCs w:val="24"/>
          <w:lang w:val="es-ES"/>
        </w:rPr>
        <w:t>pretende alinearse con el objetivo del citado Real Decreto para</w:t>
      </w:r>
      <w:r w:rsidRPr="00645552">
        <w:rPr>
          <w:rFonts w:ascii="Arial" w:hAnsi="Arial" w:cs="Arial"/>
          <w:iCs/>
          <w:color w:val="000000"/>
          <w:sz w:val="24"/>
          <w:szCs w:val="24"/>
          <w:lang w:val="es-ES"/>
        </w:rPr>
        <w:t xml:space="preserve"> evitar la propagación del virus reduciendo así los contagios.</w:t>
      </w:r>
    </w:p>
    <w:p w:rsidR="00696C0F" w:rsidRDefault="00BB0D40" w:rsidP="00BB0D40">
      <w:pPr>
        <w:spacing w:after="120" w:line="276" w:lineRule="auto"/>
        <w:ind w:firstLine="709"/>
        <w:jc w:val="both"/>
        <w:rPr>
          <w:rFonts w:ascii="Arial" w:hAnsi="Arial" w:cs="Arial"/>
          <w:iCs/>
          <w:color w:val="000000"/>
          <w:sz w:val="24"/>
          <w:szCs w:val="24"/>
          <w:lang w:val="es-ES"/>
        </w:rPr>
      </w:pPr>
      <w:r w:rsidRPr="00645552">
        <w:rPr>
          <w:rFonts w:ascii="Arial" w:hAnsi="Arial" w:cs="Arial"/>
          <w:iCs/>
          <w:color w:val="000000"/>
          <w:sz w:val="24"/>
          <w:szCs w:val="24"/>
          <w:lang w:val="es-ES"/>
        </w:rPr>
        <w:t>No obstante, el servicio público de Justicia exige garantizar la ineludible prestación de determinados servicios a l</w:t>
      </w:r>
      <w:r w:rsidR="00696C0F">
        <w:rPr>
          <w:rFonts w:ascii="Arial" w:hAnsi="Arial" w:cs="Arial"/>
          <w:iCs/>
          <w:color w:val="000000"/>
          <w:sz w:val="24"/>
          <w:szCs w:val="24"/>
          <w:lang w:val="es-ES"/>
        </w:rPr>
        <w:t>a</w:t>
      </w:r>
      <w:r w:rsidRPr="00645552">
        <w:rPr>
          <w:rFonts w:ascii="Arial" w:hAnsi="Arial" w:cs="Arial"/>
          <w:iCs/>
          <w:color w:val="000000"/>
          <w:sz w:val="24"/>
          <w:szCs w:val="24"/>
          <w:lang w:val="es-ES"/>
        </w:rPr>
        <w:t xml:space="preserve"> ciudadan</w:t>
      </w:r>
      <w:r w:rsidR="00696C0F">
        <w:rPr>
          <w:rFonts w:ascii="Arial" w:hAnsi="Arial" w:cs="Arial"/>
          <w:iCs/>
          <w:color w:val="000000"/>
          <w:sz w:val="24"/>
          <w:szCs w:val="24"/>
          <w:lang w:val="es-ES"/>
        </w:rPr>
        <w:t>ía, si bien</w:t>
      </w:r>
      <w:r w:rsidRPr="00645552">
        <w:rPr>
          <w:rFonts w:ascii="Arial" w:hAnsi="Arial" w:cs="Arial"/>
          <w:iCs/>
          <w:color w:val="000000"/>
          <w:sz w:val="24"/>
          <w:szCs w:val="24"/>
          <w:lang w:val="es-ES"/>
        </w:rPr>
        <w:t xml:space="preserve"> en la situación extraordinaria en la que nos encontramos, esta presencia </w:t>
      </w:r>
      <w:r>
        <w:rPr>
          <w:rFonts w:ascii="Arial" w:hAnsi="Arial" w:cs="Arial"/>
          <w:iCs/>
          <w:color w:val="000000"/>
          <w:sz w:val="24"/>
          <w:szCs w:val="24"/>
          <w:lang w:val="es-ES"/>
        </w:rPr>
        <w:t xml:space="preserve">física </w:t>
      </w:r>
      <w:r w:rsidRPr="00645552">
        <w:rPr>
          <w:rFonts w:ascii="Arial" w:hAnsi="Arial" w:cs="Arial"/>
          <w:iCs/>
          <w:color w:val="000000"/>
          <w:sz w:val="24"/>
          <w:szCs w:val="24"/>
          <w:lang w:val="es-ES"/>
        </w:rPr>
        <w:t>debe reducirse al mínimo para cohonestar la prestación del servicio con las recomendaciones de las autoridades sanitarias.</w:t>
      </w:r>
      <w:r w:rsidR="00696C0F">
        <w:rPr>
          <w:rFonts w:ascii="Arial" w:hAnsi="Arial" w:cs="Arial"/>
          <w:iCs/>
          <w:color w:val="000000"/>
          <w:sz w:val="24"/>
          <w:szCs w:val="24"/>
          <w:lang w:val="es-ES"/>
        </w:rPr>
        <w:t xml:space="preserve"> </w:t>
      </w:r>
      <w:r w:rsidRPr="00645552">
        <w:rPr>
          <w:rFonts w:ascii="Arial" w:hAnsi="Arial" w:cs="Arial"/>
          <w:iCs/>
          <w:color w:val="000000"/>
          <w:sz w:val="24"/>
          <w:szCs w:val="24"/>
          <w:lang w:val="es-ES"/>
        </w:rPr>
        <w:t>Por estos motivos</w:t>
      </w:r>
      <w:r w:rsidR="00696C0F">
        <w:rPr>
          <w:rFonts w:ascii="Arial" w:hAnsi="Arial" w:cs="Arial"/>
          <w:iCs/>
          <w:color w:val="000000"/>
          <w:sz w:val="24"/>
          <w:szCs w:val="24"/>
          <w:lang w:val="es-ES"/>
        </w:rPr>
        <w:t>,</w:t>
      </w:r>
      <w:r w:rsidRPr="00645552">
        <w:rPr>
          <w:rFonts w:ascii="Arial" w:hAnsi="Arial" w:cs="Arial"/>
          <w:iCs/>
          <w:color w:val="000000"/>
          <w:sz w:val="24"/>
          <w:szCs w:val="24"/>
          <w:lang w:val="es-ES"/>
        </w:rPr>
        <w:t xml:space="preserve"> </w:t>
      </w:r>
      <w:r w:rsidR="00696C0F">
        <w:rPr>
          <w:rFonts w:ascii="Arial" w:hAnsi="Arial" w:cs="Arial"/>
          <w:iCs/>
          <w:color w:val="000000"/>
          <w:sz w:val="24"/>
          <w:szCs w:val="24"/>
          <w:lang w:val="es-ES"/>
        </w:rPr>
        <w:t xml:space="preserve">es necesario adaptar la prestación de servicios esenciales en la administración de justicia </w:t>
      </w:r>
      <w:r w:rsidRPr="00645552">
        <w:rPr>
          <w:rFonts w:ascii="Arial" w:hAnsi="Arial" w:cs="Arial"/>
          <w:iCs/>
          <w:color w:val="000000"/>
          <w:sz w:val="24"/>
          <w:szCs w:val="24"/>
          <w:lang w:val="es-ES"/>
        </w:rPr>
        <w:t xml:space="preserve">en el nuevo escenario que determina el RD </w:t>
      </w:r>
      <w:r w:rsidR="002F551E">
        <w:rPr>
          <w:rFonts w:ascii="Arial" w:hAnsi="Arial" w:cs="Arial"/>
          <w:iCs/>
          <w:color w:val="000000"/>
          <w:sz w:val="24"/>
          <w:szCs w:val="24"/>
          <w:lang w:val="es-ES"/>
        </w:rPr>
        <w:t>10</w:t>
      </w:r>
      <w:r w:rsidRPr="00645552">
        <w:rPr>
          <w:rFonts w:ascii="Arial" w:hAnsi="Arial" w:cs="Arial"/>
          <w:iCs/>
          <w:color w:val="000000"/>
          <w:sz w:val="24"/>
          <w:szCs w:val="24"/>
          <w:lang w:val="es-ES"/>
        </w:rPr>
        <w:t>/2020</w:t>
      </w:r>
      <w:r>
        <w:rPr>
          <w:rFonts w:ascii="Arial" w:hAnsi="Arial" w:cs="Arial"/>
          <w:iCs/>
          <w:color w:val="000000"/>
          <w:sz w:val="24"/>
          <w:szCs w:val="24"/>
          <w:lang w:val="es-ES"/>
        </w:rPr>
        <w:t>.</w:t>
      </w:r>
    </w:p>
    <w:p w:rsidR="00696C0F" w:rsidRPr="00696C0F" w:rsidRDefault="00696C0F" w:rsidP="00BB0D40">
      <w:pPr>
        <w:spacing w:after="120" w:line="276" w:lineRule="auto"/>
        <w:ind w:firstLine="709"/>
        <w:jc w:val="both"/>
        <w:rPr>
          <w:rFonts w:ascii="Arial" w:hAnsi="Arial" w:cs="Arial"/>
          <w:iCs/>
          <w:color w:val="000000"/>
          <w:sz w:val="24"/>
          <w:szCs w:val="24"/>
          <w:lang w:val="es-ES"/>
        </w:rPr>
      </w:pPr>
      <w:r w:rsidRPr="00696C0F">
        <w:rPr>
          <w:rFonts w:ascii="Arial" w:hAnsi="Arial" w:cs="Arial"/>
          <w:sz w:val="24"/>
          <w:szCs w:val="24"/>
        </w:rPr>
        <w:t>De forma coordinada con las Comunidades Autónomas con competencias transferidas, en consultas con el Consejo General del Poder Judicial y la Fiscalía General del Estado, y de conformidad con las recomendaciones de la Autoridad Central Sanitaria en virtud de la Orden SND/261/2020 de 19 de marzo, se adopta</w:t>
      </w:r>
      <w:r w:rsidR="003A591B">
        <w:rPr>
          <w:rFonts w:ascii="Arial" w:hAnsi="Arial" w:cs="Arial"/>
          <w:sz w:val="24"/>
          <w:szCs w:val="24"/>
        </w:rPr>
        <w:t>n</w:t>
      </w:r>
      <w:r w:rsidRPr="00696C0F">
        <w:rPr>
          <w:rFonts w:ascii="Arial" w:hAnsi="Arial" w:cs="Arial"/>
          <w:sz w:val="24"/>
          <w:szCs w:val="24"/>
        </w:rPr>
        <w:t xml:space="preserve"> la</w:t>
      </w:r>
      <w:r w:rsidR="003A591B">
        <w:rPr>
          <w:rFonts w:ascii="Arial" w:hAnsi="Arial" w:cs="Arial"/>
          <w:sz w:val="24"/>
          <w:szCs w:val="24"/>
        </w:rPr>
        <w:t>s</w:t>
      </w:r>
      <w:r w:rsidRPr="00696C0F">
        <w:rPr>
          <w:rFonts w:ascii="Arial" w:hAnsi="Arial" w:cs="Arial"/>
          <w:sz w:val="24"/>
          <w:szCs w:val="24"/>
        </w:rPr>
        <w:t xml:space="preserve"> </w:t>
      </w:r>
      <w:r w:rsidR="003A591B">
        <w:rPr>
          <w:rFonts w:ascii="Arial" w:hAnsi="Arial" w:cs="Arial"/>
          <w:sz w:val="24"/>
          <w:szCs w:val="24"/>
        </w:rPr>
        <w:t>siguientes disposiciones</w:t>
      </w:r>
      <w:r w:rsidRPr="00696C0F">
        <w:rPr>
          <w:rFonts w:ascii="Arial" w:hAnsi="Arial" w:cs="Arial"/>
          <w:sz w:val="24"/>
          <w:szCs w:val="24"/>
        </w:rPr>
        <w:t>:</w:t>
      </w:r>
    </w:p>
    <w:p w:rsidR="003A591B" w:rsidRDefault="003A591B" w:rsidP="003A591B">
      <w:pPr>
        <w:spacing w:after="120" w:line="276" w:lineRule="auto"/>
        <w:jc w:val="both"/>
        <w:rPr>
          <w:rFonts w:ascii="Arial" w:hAnsi="Arial" w:cs="Arial"/>
          <w:b/>
          <w:iCs/>
          <w:color w:val="000000"/>
          <w:sz w:val="24"/>
          <w:szCs w:val="24"/>
          <w:lang w:val="es-ES"/>
        </w:rPr>
      </w:pPr>
    </w:p>
    <w:p w:rsidR="003A591B" w:rsidRPr="00696C0F" w:rsidRDefault="003A591B" w:rsidP="003A591B">
      <w:pPr>
        <w:spacing w:after="120" w:line="276" w:lineRule="auto"/>
        <w:jc w:val="both"/>
        <w:rPr>
          <w:rFonts w:ascii="Arial" w:hAnsi="Arial" w:cs="Arial"/>
          <w:b/>
          <w:iCs/>
          <w:color w:val="000000"/>
          <w:sz w:val="24"/>
          <w:szCs w:val="24"/>
          <w:lang w:val="es-ES"/>
        </w:rPr>
      </w:pPr>
      <w:r>
        <w:rPr>
          <w:rFonts w:ascii="Arial" w:hAnsi="Arial" w:cs="Arial"/>
          <w:b/>
          <w:iCs/>
          <w:color w:val="000000"/>
          <w:sz w:val="24"/>
          <w:szCs w:val="24"/>
          <w:lang w:val="es-ES"/>
        </w:rPr>
        <w:t>Primera</w:t>
      </w:r>
      <w:r w:rsidRPr="00696C0F">
        <w:rPr>
          <w:rFonts w:ascii="Arial" w:hAnsi="Arial" w:cs="Arial"/>
          <w:b/>
          <w:iCs/>
          <w:color w:val="000000"/>
          <w:sz w:val="24"/>
          <w:szCs w:val="24"/>
          <w:lang w:val="es-ES"/>
        </w:rPr>
        <w:t xml:space="preserve">. </w:t>
      </w:r>
      <w:r>
        <w:rPr>
          <w:rFonts w:ascii="Arial" w:hAnsi="Arial" w:cs="Arial"/>
          <w:b/>
          <w:iCs/>
          <w:color w:val="000000"/>
          <w:sz w:val="24"/>
          <w:szCs w:val="24"/>
          <w:lang w:val="es-ES"/>
        </w:rPr>
        <w:t>Prestación del servicio público de justicia</w:t>
      </w:r>
      <w:r w:rsidRPr="00696C0F">
        <w:rPr>
          <w:rFonts w:ascii="Arial" w:hAnsi="Arial" w:cs="Arial"/>
          <w:b/>
          <w:iCs/>
          <w:color w:val="000000"/>
          <w:sz w:val="24"/>
          <w:szCs w:val="24"/>
          <w:lang w:val="es-ES"/>
        </w:rPr>
        <w:t>.</w:t>
      </w:r>
    </w:p>
    <w:p w:rsidR="00BB0D40" w:rsidRPr="00696C0F" w:rsidRDefault="003A591B" w:rsidP="00696C0F">
      <w:pPr>
        <w:spacing w:after="120" w:line="276" w:lineRule="auto"/>
        <w:jc w:val="both"/>
        <w:rPr>
          <w:rFonts w:ascii="Arial" w:hAnsi="Arial" w:cs="Arial"/>
          <w:iCs/>
          <w:color w:val="000000"/>
          <w:sz w:val="24"/>
          <w:szCs w:val="24"/>
          <w:lang w:val="es-ES"/>
        </w:rPr>
      </w:pPr>
      <w:r>
        <w:rPr>
          <w:rFonts w:ascii="Arial" w:hAnsi="Arial" w:cs="Arial"/>
          <w:iCs/>
          <w:color w:val="000000"/>
          <w:sz w:val="24"/>
          <w:szCs w:val="24"/>
          <w:lang w:val="es-ES"/>
        </w:rPr>
        <w:t>Se mantiene la prestación de l</w:t>
      </w:r>
      <w:r w:rsidR="00BB0D40" w:rsidRPr="00696C0F">
        <w:rPr>
          <w:rFonts w:ascii="Arial" w:hAnsi="Arial" w:cs="Arial"/>
          <w:iCs/>
          <w:color w:val="000000"/>
          <w:sz w:val="24"/>
          <w:szCs w:val="24"/>
          <w:lang w:val="es-ES"/>
        </w:rPr>
        <w:t>os servicios esenciales en la Administración de Justicia fijados en la Resolución del Secretario de Estado de Justicia de fecha 14 de marzo de 2020, de acuerdo con las Resoluciones del Consejo General del Poder Judicial y la Fiscalía General del Estado.</w:t>
      </w:r>
    </w:p>
    <w:p w:rsidR="003A591B" w:rsidRDefault="003A591B" w:rsidP="00696C0F">
      <w:pPr>
        <w:spacing w:after="120" w:line="276" w:lineRule="auto"/>
        <w:jc w:val="both"/>
        <w:rPr>
          <w:rFonts w:ascii="Arial" w:hAnsi="Arial" w:cs="Arial"/>
          <w:b/>
          <w:iCs/>
          <w:color w:val="000000"/>
          <w:sz w:val="24"/>
          <w:szCs w:val="24"/>
          <w:lang w:val="es-ES"/>
        </w:rPr>
      </w:pPr>
    </w:p>
    <w:p w:rsidR="00696C0F" w:rsidRPr="00696C0F" w:rsidRDefault="00696C0F" w:rsidP="00696C0F">
      <w:pPr>
        <w:spacing w:after="120" w:line="276" w:lineRule="auto"/>
        <w:jc w:val="both"/>
        <w:rPr>
          <w:rFonts w:ascii="Arial" w:hAnsi="Arial" w:cs="Arial"/>
          <w:b/>
          <w:iCs/>
          <w:color w:val="000000"/>
          <w:sz w:val="24"/>
          <w:szCs w:val="24"/>
          <w:lang w:val="es-ES"/>
        </w:rPr>
      </w:pPr>
      <w:r w:rsidRPr="00696C0F">
        <w:rPr>
          <w:rFonts w:ascii="Arial" w:hAnsi="Arial" w:cs="Arial"/>
          <w:b/>
          <w:iCs/>
          <w:color w:val="000000"/>
          <w:sz w:val="24"/>
          <w:szCs w:val="24"/>
          <w:lang w:val="es-ES"/>
        </w:rPr>
        <w:t>Segund</w:t>
      </w:r>
      <w:r w:rsidR="003A591B">
        <w:rPr>
          <w:rFonts w:ascii="Arial" w:hAnsi="Arial" w:cs="Arial"/>
          <w:b/>
          <w:iCs/>
          <w:color w:val="000000"/>
          <w:sz w:val="24"/>
          <w:szCs w:val="24"/>
          <w:lang w:val="es-ES"/>
        </w:rPr>
        <w:t>a</w:t>
      </w:r>
      <w:r w:rsidRPr="00696C0F">
        <w:rPr>
          <w:rFonts w:ascii="Arial" w:hAnsi="Arial" w:cs="Arial"/>
          <w:b/>
          <w:iCs/>
          <w:color w:val="000000"/>
          <w:sz w:val="24"/>
          <w:szCs w:val="24"/>
          <w:lang w:val="es-ES"/>
        </w:rPr>
        <w:t xml:space="preserve">. </w:t>
      </w:r>
      <w:r w:rsidR="003A591B">
        <w:rPr>
          <w:rFonts w:ascii="Arial" w:hAnsi="Arial" w:cs="Arial"/>
          <w:b/>
          <w:iCs/>
          <w:color w:val="000000"/>
          <w:sz w:val="24"/>
          <w:szCs w:val="24"/>
          <w:lang w:val="es-ES"/>
        </w:rPr>
        <w:t>Mantenimiento de d</w:t>
      </w:r>
      <w:r w:rsidRPr="00696C0F">
        <w:rPr>
          <w:rFonts w:ascii="Arial" w:hAnsi="Arial" w:cs="Arial"/>
          <w:b/>
          <w:iCs/>
          <w:color w:val="000000"/>
          <w:sz w:val="24"/>
          <w:szCs w:val="24"/>
          <w:lang w:val="es-ES"/>
        </w:rPr>
        <w:t>otaciones de plantilla.</w:t>
      </w:r>
    </w:p>
    <w:p w:rsidR="00BB0D40" w:rsidRDefault="003A591B" w:rsidP="00696C0F">
      <w:pPr>
        <w:spacing w:after="120" w:line="276" w:lineRule="auto"/>
        <w:jc w:val="both"/>
        <w:rPr>
          <w:rFonts w:ascii="Arial" w:hAnsi="Arial" w:cs="Arial"/>
          <w:iCs/>
          <w:color w:val="000000"/>
          <w:sz w:val="24"/>
          <w:szCs w:val="24"/>
          <w:lang w:val="es-ES"/>
        </w:rPr>
      </w:pPr>
      <w:r>
        <w:rPr>
          <w:rFonts w:ascii="Arial" w:hAnsi="Arial" w:cs="Arial"/>
          <w:iCs/>
          <w:color w:val="000000"/>
          <w:sz w:val="24"/>
          <w:szCs w:val="24"/>
          <w:lang w:val="es-ES"/>
        </w:rPr>
        <w:t xml:space="preserve">Las </w:t>
      </w:r>
      <w:r w:rsidR="00BB0D40" w:rsidRPr="00696C0F">
        <w:rPr>
          <w:rFonts w:ascii="Arial" w:hAnsi="Arial" w:cs="Arial"/>
          <w:iCs/>
          <w:color w:val="000000"/>
          <w:sz w:val="24"/>
          <w:szCs w:val="24"/>
          <w:lang w:val="es-ES"/>
        </w:rPr>
        <w:t xml:space="preserve">dotaciones de plantilla necesarias para atender </w:t>
      </w:r>
      <w:r>
        <w:rPr>
          <w:rFonts w:ascii="Arial" w:hAnsi="Arial" w:cs="Arial"/>
          <w:iCs/>
          <w:color w:val="000000"/>
          <w:sz w:val="24"/>
          <w:szCs w:val="24"/>
          <w:lang w:val="es-ES"/>
        </w:rPr>
        <w:t>l</w:t>
      </w:r>
      <w:r w:rsidR="00BB0D40" w:rsidRPr="00696C0F">
        <w:rPr>
          <w:rFonts w:ascii="Arial" w:hAnsi="Arial" w:cs="Arial"/>
          <w:iCs/>
          <w:color w:val="000000"/>
          <w:sz w:val="24"/>
          <w:szCs w:val="24"/>
          <w:lang w:val="es-ES"/>
        </w:rPr>
        <w:t>os servicios esenciales fijad</w:t>
      </w:r>
      <w:r>
        <w:rPr>
          <w:rFonts w:ascii="Arial" w:hAnsi="Arial" w:cs="Arial"/>
          <w:iCs/>
          <w:color w:val="000000"/>
          <w:sz w:val="24"/>
          <w:szCs w:val="24"/>
          <w:lang w:val="es-ES"/>
        </w:rPr>
        <w:t>o</w:t>
      </w:r>
      <w:r w:rsidR="00BB0D40" w:rsidRPr="00696C0F">
        <w:rPr>
          <w:rFonts w:ascii="Arial" w:hAnsi="Arial" w:cs="Arial"/>
          <w:iCs/>
          <w:color w:val="000000"/>
          <w:sz w:val="24"/>
          <w:szCs w:val="24"/>
          <w:lang w:val="es-ES"/>
        </w:rPr>
        <w:t xml:space="preserve">s </w:t>
      </w:r>
      <w:r w:rsidRPr="00696C0F">
        <w:rPr>
          <w:rFonts w:ascii="Arial" w:hAnsi="Arial" w:cs="Arial"/>
          <w:iCs/>
          <w:color w:val="000000"/>
          <w:sz w:val="24"/>
          <w:szCs w:val="24"/>
          <w:lang w:val="es-ES"/>
        </w:rPr>
        <w:t xml:space="preserve">por las Administraciones Prestacionales </w:t>
      </w:r>
      <w:r w:rsidR="00BB0D40" w:rsidRPr="00696C0F">
        <w:rPr>
          <w:rFonts w:ascii="Arial" w:hAnsi="Arial" w:cs="Arial"/>
          <w:iCs/>
          <w:color w:val="000000"/>
          <w:sz w:val="24"/>
          <w:szCs w:val="24"/>
          <w:lang w:val="es-ES"/>
        </w:rPr>
        <w:t xml:space="preserve">en las distintas resoluciones dictadas durante la vigencia del Estado de Alarma </w:t>
      </w:r>
      <w:r>
        <w:rPr>
          <w:rFonts w:ascii="Arial" w:hAnsi="Arial" w:cs="Arial"/>
          <w:iCs/>
          <w:color w:val="000000"/>
          <w:sz w:val="24"/>
          <w:szCs w:val="24"/>
          <w:lang w:val="es-ES"/>
        </w:rPr>
        <w:t>se mantienen en las mismas condiciones.</w:t>
      </w:r>
    </w:p>
    <w:p w:rsidR="003A591B" w:rsidRPr="00696C0F" w:rsidRDefault="003A591B" w:rsidP="00696C0F">
      <w:pPr>
        <w:spacing w:after="120" w:line="276" w:lineRule="auto"/>
        <w:jc w:val="both"/>
        <w:rPr>
          <w:rFonts w:ascii="Arial" w:hAnsi="Arial" w:cs="Arial"/>
          <w:iCs/>
          <w:color w:val="000000"/>
          <w:sz w:val="24"/>
          <w:szCs w:val="24"/>
          <w:lang w:val="es-ES"/>
        </w:rPr>
      </w:pPr>
    </w:p>
    <w:p w:rsidR="00696C0F" w:rsidRPr="00696C0F" w:rsidRDefault="00696C0F" w:rsidP="00696C0F">
      <w:pPr>
        <w:spacing w:after="120" w:line="276" w:lineRule="auto"/>
        <w:jc w:val="both"/>
        <w:rPr>
          <w:rFonts w:ascii="Arial" w:hAnsi="Arial" w:cs="Arial"/>
          <w:b/>
          <w:iCs/>
          <w:color w:val="000000"/>
          <w:sz w:val="24"/>
          <w:szCs w:val="24"/>
          <w:lang w:val="es-ES"/>
        </w:rPr>
      </w:pPr>
      <w:r w:rsidRPr="00696C0F">
        <w:rPr>
          <w:rFonts w:ascii="Arial" w:hAnsi="Arial" w:cs="Arial"/>
          <w:b/>
          <w:iCs/>
          <w:color w:val="000000"/>
          <w:sz w:val="24"/>
          <w:szCs w:val="24"/>
          <w:lang w:val="es-ES"/>
        </w:rPr>
        <w:lastRenderedPageBreak/>
        <w:t>Tercer</w:t>
      </w:r>
      <w:r w:rsidR="003A591B">
        <w:rPr>
          <w:rFonts w:ascii="Arial" w:hAnsi="Arial" w:cs="Arial"/>
          <w:b/>
          <w:iCs/>
          <w:color w:val="000000"/>
          <w:sz w:val="24"/>
          <w:szCs w:val="24"/>
          <w:lang w:val="es-ES"/>
        </w:rPr>
        <w:t>a</w:t>
      </w:r>
      <w:r w:rsidRPr="00696C0F">
        <w:rPr>
          <w:rFonts w:ascii="Arial" w:hAnsi="Arial" w:cs="Arial"/>
          <w:b/>
          <w:iCs/>
          <w:color w:val="000000"/>
          <w:sz w:val="24"/>
          <w:szCs w:val="24"/>
          <w:lang w:val="es-ES"/>
        </w:rPr>
        <w:t>. Régimen de</w:t>
      </w:r>
      <w:r w:rsidR="003A591B">
        <w:rPr>
          <w:rFonts w:ascii="Arial" w:hAnsi="Arial" w:cs="Arial"/>
          <w:b/>
          <w:iCs/>
          <w:color w:val="000000"/>
          <w:sz w:val="24"/>
          <w:szCs w:val="24"/>
          <w:lang w:val="es-ES"/>
        </w:rPr>
        <w:t xml:space="preserve"> </w:t>
      </w:r>
      <w:proofErr w:type="spellStart"/>
      <w:r w:rsidRPr="00696C0F">
        <w:rPr>
          <w:rFonts w:ascii="Arial" w:hAnsi="Arial" w:cs="Arial"/>
          <w:b/>
          <w:iCs/>
          <w:color w:val="000000"/>
          <w:sz w:val="24"/>
          <w:szCs w:val="24"/>
          <w:lang w:val="es-ES"/>
        </w:rPr>
        <w:t>presencialidad</w:t>
      </w:r>
      <w:proofErr w:type="spellEnd"/>
      <w:r w:rsidRPr="00696C0F">
        <w:rPr>
          <w:rFonts w:ascii="Arial" w:hAnsi="Arial" w:cs="Arial"/>
          <w:b/>
          <w:iCs/>
          <w:color w:val="000000"/>
          <w:sz w:val="24"/>
          <w:szCs w:val="24"/>
          <w:lang w:val="es-ES"/>
        </w:rPr>
        <w:t>.</w:t>
      </w:r>
    </w:p>
    <w:p w:rsidR="00BB0D40" w:rsidRPr="00151DE1" w:rsidRDefault="00DA351A" w:rsidP="00696C0F">
      <w:pPr>
        <w:spacing w:after="120" w:line="276" w:lineRule="auto"/>
        <w:jc w:val="both"/>
        <w:rPr>
          <w:rFonts w:ascii="Arial" w:hAnsi="Arial" w:cs="Arial"/>
          <w:iCs/>
          <w:color w:val="000000"/>
          <w:sz w:val="24"/>
          <w:szCs w:val="24"/>
          <w:lang w:val="es-ES"/>
        </w:rPr>
      </w:pPr>
      <w:r w:rsidRPr="00151DE1">
        <w:rPr>
          <w:rFonts w:ascii="Arial" w:hAnsi="Arial" w:cs="Arial"/>
          <w:iCs/>
          <w:color w:val="000000"/>
          <w:sz w:val="24"/>
          <w:szCs w:val="24"/>
          <w:lang w:val="es-ES"/>
        </w:rPr>
        <w:t>D</w:t>
      </w:r>
      <w:r w:rsidR="00BB0D40" w:rsidRPr="00151DE1">
        <w:rPr>
          <w:rFonts w:ascii="Arial" w:hAnsi="Arial" w:cs="Arial"/>
          <w:iCs/>
          <w:color w:val="000000"/>
          <w:sz w:val="24"/>
          <w:szCs w:val="24"/>
          <w:lang w:val="es-ES"/>
        </w:rPr>
        <w:t>eben prestarse en régimen presencial, en los términos y número de personas fijados en la resolución de servicios esenciales, los siguientes</w:t>
      </w:r>
      <w:r w:rsidRPr="00151DE1">
        <w:rPr>
          <w:rFonts w:ascii="Arial" w:hAnsi="Arial" w:cs="Arial"/>
          <w:iCs/>
          <w:color w:val="000000"/>
          <w:sz w:val="24"/>
          <w:szCs w:val="24"/>
          <w:lang w:val="es-ES"/>
        </w:rPr>
        <w:t xml:space="preserve"> servicios</w:t>
      </w:r>
      <w:r w:rsidR="00BB0D40" w:rsidRPr="00151DE1">
        <w:rPr>
          <w:rFonts w:ascii="Arial" w:hAnsi="Arial" w:cs="Arial"/>
          <w:iCs/>
          <w:color w:val="000000"/>
          <w:sz w:val="24"/>
          <w:szCs w:val="24"/>
          <w:lang w:val="es-ES"/>
        </w:rPr>
        <w:t>:</w:t>
      </w:r>
    </w:p>
    <w:p w:rsidR="00BB0D40" w:rsidRPr="00151DE1" w:rsidRDefault="00BB0D40" w:rsidP="00DA351A">
      <w:pPr>
        <w:pStyle w:val="Prrafodelista"/>
        <w:numPr>
          <w:ilvl w:val="0"/>
          <w:numId w:val="2"/>
        </w:numPr>
        <w:spacing w:after="120" w:line="276" w:lineRule="auto"/>
        <w:jc w:val="both"/>
        <w:rPr>
          <w:rFonts w:ascii="Arial" w:hAnsi="Arial" w:cs="Arial"/>
          <w:iCs/>
          <w:color w:val="000000"/>
          <w:sz w:val="24"/>
          <w:szCs w:val="24"/>
          <w:lang w:val="es-ES"/>
        </w:rPr>
      </w:pPr>
      <w:r w:rsidRPr="00151DE1">
        <w:rPr>
          <w:rFonts w:ascii="Arial" w:hAnsi="Arial" w:cs="Arial"/>
          <w:iCs/>
          <w:color w:val="000000"/>
          <w:sz w:val="24"/>
          <w:szCs w:val="24"/>
          <w:lang w:val="es-ES"/>
        </w:rPr>
        <w:t>Los servicios de juzgado de guardia en todos los partidos judiciales de España, así como las guardias de fiscalías de menores allí donde existan.</w:t>
      </w:r>
      <w:r w:rsidR="00DA351A" w:rsidRPr="00151DE1">
        <w:rPr>
          <w:rFonts w:ascii="Arial" w:hAnsi="Arial" w:cs="Arial"/>
          <w:iCs/>
          <w:color w:val="000000"/>
          <w:sz w:val="24"/>
          <w:szCs w:val="24"/>
          <w:lang w:val="es-ES"/>
        </w:rPr>
        <w:t xml:space="preserve"> Estos servicios </w:t>
      </w:r>
      <w:r w:rsidRPr="00151DE1">
        <w:rPr>
          <w:rFonts w:ascii="Arial" w:hAnsi="Arial" w:cs="Arial"/>
          <w:iCs/>
          <w:color w:val="000000"/>
          <w:sz w:val="24"/>
          <w:szCs w:val="24"/>
          <w:lang w:val="es-ES"/>
        </w:rPr>
        <w:t>se realizarán, siempre que sea posible, mediante videoconferencia o cualquier otro dispositivo o aplicación informática que permita la comunicación bidireccional segura de datos o si fuera necesario de imagen y/o sonido a los efectos de evitar, en cuanto fuera posible, traslados de detenidos, profesionales u otras personas a las sedes judiciales para la práctica de las diligencias que hubieran de realizarse.</w:t>
      </w:r>
    </w:p>
    <w:p w:rsidR="00BB0D40" w:rsidRPr="00151DE1" w:rsidRDefault="00DA351A" w:rsidP="00414223">
      <w:pPr>
        <w:pStyle w:val="Prrafodelista"/>
        <w:numPr>
          <w:ilvl w:val="0"/>
          <w:numId w:val="2"/>
        </w:numPr>
        <w:spacing w:after="120" w:line="276" w:lineRule="auto"/>
        <w:jc w:val="both"/>
        <w:rPr>
          <w:rFonts w:ascii="Arial" w:hAnsi="Arial" w:cs="Arial"/>
          <w:iCs/>
          <w:color w:val="000000"/>
          <w:sz w:val="24"/>
          <w:szCs w:val="24"/>
          <w:lang w:val="es-ES"/>
        </w:rPr>
      </w:pPr>
      <w:r w:rsidRPr="00151DE1">
        <w:rPr>
          <w:rFonts w:ascii="Arial" w:hAnsi="Arial" w:cs="Arial"/>
          <w:iCs/>
          <w:color w:val="000000"/>
          <w:sz w:val="24"/>
          <w:szCs w:val="24"/>
          <w:lang w:val="es-ES"/>
        </w:rPr>
        <w:t>Las ó</w:t>
      </w:r>
      <w:r w:rsidR="00BB0D40" w:rsidRPr="00151DE1">
        <w:rPr>
          <w:rFonts w:ascii="Arial" w:hAnsi="Arial" w:cs="Arial"/>
          <w:iCs/>
          <w:color w:val="000000"/>
          <w:sz w:val="24"/>
          <w:szCs w:val="24"/>
          <w:lang w:val="es-ES"/>
        </w:rPr>
        <w:t>rdenes de protección y cualquier medida cautelar en materia de violencia sobre la mujer. Estos servicios se prestarán en la misma forma expuesta para los juzgados de guardia.</w:t>
      </w:r>
    </w:p>
    <w:p w:rsidR="00BB0D40" w:rsidRPr="00151DE1" w:rsidRDefault="00BB0D40" w:rsidP="00BB0D40">
      <w:pPr>
        <w:pStyle w:val="Prrafodelista"/>
        <w:numPr>
          <w:ilvl w:val="0"/>
          <w:numId w:val="2"/>
        </w:numPr>
        <w:spacing w:after="120" w:line="276" w:lineRule="auto"/>
        <w:jc w:val="both"/>
        <w:rPr>
          <w:rFonts w:ascii="Arial" w:hAnsi="Arial" w:cs="Arial"/>
          <w:iCs/>
          <w:color w:val="000000"/>
          <w:sz w:val="24"/>
          <w:szCs w:val="24"/>
          <w:lang w:val="es-ES"/>
        </w:rPr>
      </w:pPr>
      <w:r w:rsidRPr="00151DE1">
        <w:rPr>
          <w:rFonts w:ascii="Arial" w:hAnsi="Arial" w:cs="Arial"/>
          <w:iCs/>
          <w:color w:val="000000"/>
          <w:sz w:val="24"/>
          <w:szCs w:val="24"/>
          <w:lang w:val="es-ES"/>
        </w:rPr>
        <w:t xml:space="preserve">Las </w:t>
      </w:r>
      <w:r w:rsidR="00DA351A" w:rsidRPr="00151DE1">
        <w:rPr>
          <w:rFonts w:ascii="Arial" w:hAnsi="Arial" w:cs="Arial"/>
          <w:iCs/>
          <w:color w:val="000000"/>
          <w:sz w:val="24"/>
          <w:szCs w:val="24"/>
          <w:lang w:val="es-ES"/>
        </w:rPr>
        <w:t xml:space="preserve">actuaciones </w:t>
      </w:r>
      <w:r w:rsidRPr="00151DE1">
        <w:rPr>
          <w:rFonts w:ascii="Arial" w:hAnsi="Arial" w:cs="Arial"/>
          <w:iCs/>
          <w:color w:val="000000"/>
          <w:sz w:val="24"/>
          <w:szCs w:val="24"/>
          <w:lang w:val="es-ES"/>
        </w:rPr>
        <w:t>de Registro Civil declaradas esenciales en la resolución de 18 de marzo de 2020, en los términos aprobados por el protocolo de 27 de marzo, con especial atención a la expedición de licencias de enterramiento.</w:t>
      </w:r>
    </w:p>
    <w:p w:rsidR="00BB0D40" w:rsidRPr="00151DE1" w:rsidRDefault="00DA351A" w:rsidP="00BB0D40">
      <w:pPr>
        <w:pStyle w:val="Prrafodelista"/>
        <w:numPr>
          <w:ilvl w:val="0"/>
          <w:numId w:val="2"/>
        </w:numPr>
        <w:spacing w:after="120" w:line="276" w:lineRule="auto"/>
        <w:jc w:val="both"/>
        <w:rPr>
          <w:rFonts w:ascii="Arial" w:hAnsi="Arial" w:cs="Arial"/>
          <w:iCs/>
          <w:color w:val="000000"/>
          <w:sz w:val="24"/>
          <w:szCs w:val="24"/>
          <w:lang w:val="es-ES"/>
        </w:rPr>
      </w:pPr>
      <w:r w:rsidRPr="00151DE1">
        <w:rPr>
          <w:rFonts w:ascii="Arial" w:hAnsi="Arial" w:cs="Arial"/>
          <w:iCs/>
          <w:color w:val="000000"/>
          <w:sz w:val="24"/>
          <w:szCs w:val="24"/>
          <w:lang w:val="es-ES"/>
        </w:rPr>
        <w:t>L</w:t>
      </w:r>
      <w:r w:rsidR="00BB0D40" w:rsidRPr="00151DE1">
        <w:rPr>
          <w:rFonts w:ascii="Arial" w:hAnsi="Arial" w:cs="Arial"/>
          <w:iCs/>
          <w:color w:val="000000"/>
          <w:sz w:val="24"/>
          <w:szCs w:val="24"/>
          <w:lang w:val="es-ES"/>
        </w:rPr>
        <w:t xml:space="preserve">as actuaciones urgentes en causas con preso. </w:t>
      </w:r>
      <w:r w:rsidRPr="00151DE1">
        <w:rPr>
          <w:rFonts w:ascii="Arial" w:hAnsi="Arial" w:cs="Arial"/>
          <w:iCs/>
          <w:color w:val="000000"/>
          <w:sz w:val="24"/>
          <w:szCs w:val="24"/>
          <w:lang w:val="es-ES"/>
        </w:rPr>
        <w:t>Para estos casos, s</w:t>
      </w:r>
      <w:r w:rsidR="00BB0D40" w:rsidRPr="00151DE1">
        <w:rPr>
          <w:rFonts w:ascii="Arial" w:hAnsi="Arial" w:cs="Arial"/>
          <w:iCs/>
          <w:color w:val="000000"/>
          <w:sz w:val="24"/>
          <w:szCs w:val="24"/>
          <w:lang w:val="es-ES"/>
        </w:rPr>
        <w:t>e fomentará especialmente la utilización de la videoconferencia o cualquier otro dispositivo o aplicación informática que permita la comunicación bidireccional segura de sonido e imagen incluso a los efectos de evitar, en cuanto fuera posible, traslados de presos a las sedes judiciales para la práctica de las diligencias que hubieran de realizarse con los mismos.</w:t>
      </w:r>
    </w:p>
    <w:p w:rsidR="00DA351A" w:rsidRDefault="00DA351A" w:rsidP="00DA351A">
      <w:pPr>
        <w:pStyle w:val="Prrafodelista"/>
        <w:spacing w:after="120" w:line="276" w:lineRule="auto"/>
        <w:ind w:left="1069"/>
        <w:jc w:val="both"/>
        <w:rPr>
          <w:rFonts w:ascii="Arial" w:hAnsi="Arial" w:cs="Arial"/>
          <w:iCs/>
          <w:color w:val="000000"/>
          <w:sz w:val="24"/>
          <w:szCs w:val="24"/>
          <w:lang w:val="es-ES"/>
        </w:rPr>
      </w:pPr>
    </w:p>
    <w:p w:rsidR="003A591B" w:rsidRPr="003A591B" w:rsidRDefault="003A591B" w:rsidP="003A591B">
      <w:pPr>
        <w:spacing w:after="120" w:line="276" w:lineRule="auto"/>
        <w:jc w:val="both"/>
        <w:rPr>
          <w:rFonts w:ascii="Arial" w:hAnsi="Arial" w:cs="Arial"/>
          <w:b/>
          <w:iCs/>
          <w:color w:val="000000"/>
          <w:sz w:val="24"/>
          <w:szCs w:val="24"/>
          <w:lang w:val="es-ES"/>
        </w:rPr>
      </w:pPr>
      <w:r>
        <w:rPr>
          <w:rFonts w:ascii="Arial" w:hAnsi="Arial" w:cs="Arial"/>
          <w:b/>
          <w:iCs/>
          <w:color w:val="000000"/>
          <w:sz w:val="24"/>
          <w:szCs w:val="24"/>
          <w:lang w:val="es-ES"/>
        </w:rPr>
        <w:t>Cuarta</w:t>
      </w:r>
      <w:r w:rsidRPr="003A591B">
        <w:rPr>
          <w:rFonts w:ascii="Arial" w:hAnsi="Arial" w:cs="Arial"/>
          <w:b/>
          <w:iCs/>
          <w:color w:val="000000"/>
          <w:sz w:val="24"/>
          <w:szCs w:val="24"/>
          <w:lang w:val="es-ES"/>
        </w:rPr>
        <w:t xml:space="preserve">. Régimen de </w:t>
      </w:r>
      <w:r>
        <w:rPr>
          <w:rFonts w:ascii="Arial" w:hAnsi="Arial" w:cs="Arial"/>
          <w:b/>
          <w:iCs/>
          <w:color w:val="000000"/>
          <w:sz w:val="24"/>
          <w:szCs w:val="24"/>
          <w:lang w:val="es-ES"/>
        </w:rPr>
        <w:t>disponibilidad</w:t>
      </w:r>
      <w:r w:rsidRPr="003A591B">
        <w:rPr>
          <w:rFonts w:ascii="Arial" w:hAnsi="Arial" w:cs="Arial"/>
          <w:b/>
          <w:iCs/>
          <w:color w:val="000000"/>
          <w:sz w:val="24"/>
          <w:szCs w:val="24"/>
          <w:lang w:val="es-ES"/>
        </w:rPr>
        <w:t>.</w:t>
      </w:r>
    </w:p>
    <w:p w:rsidR="00BB0D40" w:rsidRPr="00151DE1" w:rsidRDefault="00BB0D40" w:rsidP="00696C0F">
      <w:pPr>
        <w:spacing w:after="120" w:line="276" w:lineRule="auto"/>
        <w:jc w:val="both"/>
        <w:rPr>
          <w:rFonts w:ascii="Arial" w:hAnsi="Arial" w:cs="Arial"/>
          <w:iCs/>
          <w:color w:val="000000"/>
          <w:sz w:val="24"/>
          <w:szCs w:val="24"/>
          <w:lang w:val="es-ES"/>
        </w:rPr>
      </w:pPr>
      <w:r w:rsidRPr="00151DE1">
        <w:rPr>
          <w:rFonts w:ascii="Arial" w:hAnsi="Arial" w:cs="Arial"/>
          <w:iCs/>
          <w:color w:val="000000"/>
          <w:sz w:val="24"/>
          <w:szCs w:val="24"/>
          <w:lang w:val="es-ES"/>
        </w:rPr>
        <w:t>El personal que, estando al cargo de los servicios declarados esenciales o correspondiéndoles los mismos por sustitución ordinaria, conforme a la presente Resolución no deba acudir a las sedes judiciales, deberá estar durante su jornada laboral localizable y disponible para acudir al juzgado a la mayor brevedad posible si fuesen requeridos para la prestación de cualquier servicio que no pueda ser prestado a distancia o para cualquier incidencia que pudiera presentarse.</w:t>
      </w:r>
    </w:p>
    <w:p w:rsidR="00BB0D40" w:rsidRDefault="00BB0D40" w:rsidP="00696C0F">
      <w:pPr>
        <w:spacing w:after="120" w:line="276" w:lineRule="auto"/>
        <w:jc w:val="both"/>
        <w:rPr>
          <w:rFonts w:ascii="Arial" w:hAnsi="Arial" w:cs="Arial"/>
          <w:iCs/>
          <w:color w:val="000000"/>
          <w:sz w:val="24"/>
          <w:szCs w:val="24"/>
          <w:lang w:val="es-ES"/>
        </w:rPr>
      </w:pPr>
      <w:r w:rsidRPr="00151DE1">
        <w:rPr>
          <w:rFonts w:ascii="Arial" w:hAnsi="Arial" w:cs="Arial"/>
          <w:iCs/>
          <w:color w:val="000000"/>
          <w:sz w:val="24"/>
          <w:szCs w:val="24"/>
          <w:lang w:val="es-ES"/>
        </w:rPr>
        <w:t xml:space="preserve">A estos fines, los Secretarios Coordinadores Provinciales o en su caso los Secretarios de Gobierno, deberán tener en todo momento a su disposición el listado de Letrados de la </w:t>
      </w:r>
      <w:r w:rsidRPr="00696C0F">
        <w:rPr>
          <w:rFonts w:ascii="Arial" w:hAnsi="Arial" w:cs="Arial"/>
          <w:iCs/>
          <w:color w:val="000000"/>
          <w:sz w:val="24"/>
          <w:szCs w:val="24"/>
          <w:lang w:val="es-ES"/>
        </w:rPr>
        <w:t xml:space="preserve">Administración de Justicia y resto de funcionarios a los que corresponda en cada turno garantizar la cobertura del servicio en todos los partidos judiciales de su territorio, quien adoptará las medidas necesarias para que, preferentemente a distancia, o en su defecto desplazando al menor número posible de funcionarios, el servicio sea prestado La misma obligación asumirán los Fiscales Jefes de cada provincia respecto del personal de las </w:t>
      </w:r>
      <w:r w:rsidRPr="00D01D40">
        <w:rPr>
          <w:rFonts w:ascii="Arial" w:hAnsi="Arial" w:cs="Arial"/>
          <w:iCs/>
          <w:color w:val="000000"/>
          <w:sz w:val="24"/>
          <w:szCs w:val="24"/>
          <w:lang w:val="es-ES"/>
        </w:rPr>
        <w:t>fiscalías.</w:t>
      </w:r>
    </w:p>
    <w:p w:rsidR="003A591B" w:rsidRPr="00D01D40" w:rsidRDefault="003A591B" w:rsidP="007E35AD">
      <w:pPr>
        <w:spacing w:after="120" w:line="23" w:lineRule="atLeast"/>
        <w:jc w:val="both"/>
        <w:rPr>
          <w:rFonts w:ascii="Arial" w:hAnsi="Arial" w:cs="Arial"/>
          <w:b/>
          <w:iCs/>
          <w:color w:val="000000"/>
          <w:sz w:val="24"/>
          <w:szCs w:val="24"/>
          <w:lang w:val="es-ES"/>
        </w:rPr>
      </w:pPr>
      <w:r w:rsidRPr="00D01D40">
        <w:rPr>
          <w:rFonts w:ascii="Arial" w:hAnsi="Arial" w:cs="Arial"/>
          <w:b/>
          <w:iCs/>
          <w:color w:val="000000"/>
          <w:sz w:val="24"/>
          <w:szCs w:val="24"/>
          <w:lang w:val="es-ES"/>
        </w:rPr>
        <w:t xml:space="preserve">Quinta. </w:t>
      </w:r>
      <w:proofErr w:type="spellStart"/>
      <w:r w:rsidR="00DA351A" w:rsidRPr="00D01D40">
        <w:rPr>
          <w:rFonts w:ascii="Arial" w:hAnsi="Arial" w:cs="Arial"/>
          <w:b/>
          <w:iCs/>
          <w:color w:val="000000"/>
          <w:sz w:val="24"/>
          <w:szCs w:val="24"/>
          <w:lang w:val="es-ES"/>
        </w:rPr>
        <w:t>Presencialidad</w:t>
      </w:r>
      <w:proofErr w:type="spellEnd"/>
      <w:r w:rsidR="00DA351A" w:rsidRPr="00D01D40">
        <w:rPr>
          <w:rFonts w:ascii="Arial" w:hAnsi="Arial" w:cs="Arial"/>
          <w:b/>
          <w:iCs/>
          <w:color w:val="000000"/>
          <w:sz w:val="24"/>
          <w:szCs w:val="24"/>
          <w:lang w:val="es-ES"/>
        </w:rPr>
        <w:t xml:space="preserve"> </w:t>
      </w:r>
      <w:r w:rsidR="00151DE1" w:rsidRPr="00D01D40">
        <w:rPr>
          <w:rFonts w:ascii="Arial" w:hAnsi="Arial" w:cs="Arial"/>
          <w:b/>
          <w:iCs/>
          <w:color w:val="000000"/>
          <w:sz w:val="24"/>
          <w:szCs w:val="24"/>
          <w:lang w:val="es-ES"/>
        </w:rPr>
        <w:t xml:space="preserve">básica </w:t>
      </w:r>
      <w:r w:rsidR="00DA351A" w:rsidRPr="00D01D40">
        <w:rPr>
          <w:rFonts w:ascii="Arial" w:hAnsi="Arial" w:cs="Arial"/>
          <w:b/>
          <w:iCs/>
          <w:color w:val="000000"/>
          <w:sz w:val="24"/>
          <w:szCs w:val="24"/>
          <w:lang w:val="es-ES"/>
        </w:rPr>
        <w:t>en sede judicial o fiscal</w:t>
      </w:r>
      <w:r w:rsidRPr="00D01D40">
        <w:rPr>
          <w:rFonts w:ascii="Arial" w:hAnsi="Arial" w:cs="Arial"/>
          <w:b/>
          <w:iCs/>
          <w:color w:val="000000"/>
          <w:sz w:val="24"/>
          <w:szCs w:val="24"/>
          <w:lang w:val="es-ES"/>
        </w:rPr>
        <w:t>.</w:t>
      </w:r>
    </w:p>
    <w:p w:rsidR="00BB0D40" w:rsidRPr="00D01D40" w:rsidRDefault="00BB0D40" w:rsidP="007E35AD">
      <w:pPr>
        <w:spacing w:after="120" w:line="23" w:lineRule="atLeast"/>
        <w:jc w:val="both"/>
        <w:rPr>
          <w:rFonts w:ascii="Arial" w:hAnsi="Arial" w:cs="Arial"/>
          <w:iCs/>
          <w:color w:val="000000"/>
          <w:sz w:val="24"/>
          <w:szCs w:val="24"/>
          <w:lang w:val="es-ES"/>
        </w:rPr>
      </w:pPr>
      <w:r w:rsidRPr="00D01D40">
        <w:rPr>
          <w:rFonts w:ascii="Arial" w:hAnsi="Arial" w:cs="Arial"/>
          <w:iCs/>
          <w:color w:val="000000"/>
          <w:sz w:val="24"/>
          <w:szCs w:val="24"/>
          <w:lang w:val="es-ES"/>
        </w:rPr>
        <w:t>En todo caso se garantizará que, en cada sede judicial o fiscal, haya al menos un funcionario disponible durante las horas de audiencia pública.</w:t>
      </w:r>
    </w:p>
    <w:p w:rsidR="00D01D40" w:rsidRPr="00D01D40" w:rsidRDefault="00D01D40" w:rsidP="007E35AD">
      <w:pPr>
        <w:spacing w:line="23" w:lineRule="atLeast"/>
        <w:jc w:val="both"/>
        <w:rPr>
          <w:rFonts w:ascii="Arial" w:hAnsi="Arial" w:cs="Arial"/>
          <w:b/>
          <w:sz w:val="24"/>
          <w:szCs w:val="24"/>
        </w:rPr>
      </w:pPr>
      <w:r w:rsidRPr="00D01D40">
        <w:rPr>
          <w:rFonts w:ascii="Arial" w:hAnsi="Arial" w:cs="Arial"/>
          <w:b/>
          <w:sz w:val="24"/>
          <w:szCs w:val="24"/>
        </w:rPr>
        <w:lastRenderedPageBreak/>
        <w:t>Sexta. Desplazamientos de profesionales</w:t>
      </w:r>
    </w:p>
    <w:p w:rsidR="00D01D40" w:rsidRPr="00D01D40" w:rsidRDefault="00D01D40" w:rsidP="007E35AD">
      <w:pPr>
        <w:pStyle w:val="Prrafodelista"/>
        <w:spacing w:line="23" w:lineRule="atLeast"/>
        <w:jc w:val="both"/>
        <w:rPr>
          <w:rFonts w:ascii="Arial" w:hAnsi="Arial" w:cs="Arial"/>
          <w:sz w:val="24"/>
          <w:szCs w:val="24"/>
        </w:rPr>
      </w:pPr>
    </w:p>
    <w:p w:rsidR="00D01D40" w:rsidRPr="00D01D40" w:rsidRDefault="00D01D40" w:rsidP="007E35AD">
      <w:pPr>
        <w:spacing w:line="23" w:lineRule="atLeast"/>
        <w:jc w:val="both"/>
        <w:rPr>
          <w:rFonts w:ascii="Arial" w:hAnsi="Arial" w:cs="Arial"/>
          <w:sz w:val="24"/>
          <w:szCs w:val="24"/>
        </w:rPr>
      </w:pPr>
      <w:r w:rsidRPr="00D01D40">
        <w:rPr>
          <w:rFonts w:ascii="Arial" w:hAnsi="Arial" w:cs="Arial"/>
          <w:sz w:val="24"/>
          <w:szCs w:val="24"/>
        </w:rPr>
        <w:t>Aquellos profesionales de la administración de justicia que prestan los servicios esenciales fijados de común acuerdo por el Consejo General del Poder Judicial, la Fiscalía General del Estado y el Ministerio de Justicia</w:t>
      </w:r>
      <w:r w:rsidR="002F551E">
        <w:rPr>
          <w:rFonts w:ascii="Arial" w:hAnsi="Arial" w:cs="Arial"/>
          <w:sz w:val="24"/>
          <w:szCs w:val="24"/>
        </w:rPr>
        <w:t>, y en coordinación con las Comunidades Autónomas con competencias transferidas,</w:t>
      </w:r>
      <w:r w:rsidRPr="00D01D40">
        <w:rPr>
          <w:rFonts w:ascii="Arial" w:hAnsi="Arial" w:cs="Arial"/>
          <w:sz w:val="24"/>
          <w:szCs w:val="24"/>
        </w:rPr>
        <w:t xml:space="preserve"> se encuentran autorizados para los desplazamientos necesarios para desempeñar su actividad laboral de conformidad con esta resolución. </w:t>
      </w:r>
      <w:r w:rsidR="00947B04">
        <w:rPr>
          <w:rFonts w:ascii="Arial" w:hAnsi="Arial" w:cs="Arial"/>
          <w:sz w:val="24"/>
          <w:szCs w:val="24"/>
        </w:rPr>
        <w:t>Esta autorización comprende, d</w:t>
      </w:r>
      <w:r w:rsidRPr="00D01D40">
        <w:rPr>
          <w:rFonts w:ascii="Arial" w:hAnsi="Arial" w:cs="Arial"/>
          <w:sz w:val="24"/>
          <w:szCs w:val="24"/>
        </w:rPr>
        <w:t>el mismo modo, los desplazamientos necesarios de abogados</w:t>
      </w:r>
      <w:r w:rsidR="00947B04">
        <w:rPr>
          <w:rFonts w:ascii="Arial" w:hAnsi="Arial" w:cs="Arial"/>
          <w:sz w:val="24"/>
          <w:szCs w:val="24"/>
        </w:rPr>
        <w:t xml:space="preserve"> y</w:t>
      </w:r>
      <w:r w:rsidRPr="00D01D40">
        <w:rPr>
          <w:rFonts w:ascii="Arial" w:hAnsi="Arial" w:cs="Arial"/>
          <w:sz w:val="24"/>
          <w:szCs w:val="24"/>
        </w:rPr>
        <w:t xml:space="preserve"> procuradores</w:t>
      </w:r>
      <w:r w:rsidR="00947B04">
        <w:rPr>
          <w:rFonts w:ascii="Arial" w:hAnsi="Arial" w:cs="Arial"/>
          <w:sz w:val="24"/>
          <w:szCs w:val="24"/>
        </w:rPr>
        <w:t xml:space="preserve"> </w:t>
      </w:r>
      <w:r w:rsidRPr="00D01D40">
        <w:rPr>
          <w:rFonts w:ascii="Arial" w:hAnsi="Arial" w:cs="Arial"/>
          <w:sz w:val="24"/>
          <w:szCs w:val="24"/>
        </w:rPr>
        <w:t xml:space="preserve">a </w:t>
      </w:r>
      <w:r w:rsidR="004044CC">
        <w:rPr>
          <w:rFonts w:ascii="Arial" w:hAnsi="Arial" w:cs="Arial"/>
          <w:sz w:val="24"/>
          <w:szCs w:val="24"/>
        </w:rPr>
        <w:t xml:space="preserve">las </w:t>
      </w:r>
      <w:r w:rsidRPr="00D01D40">
        <w:rPr>
          <w:rFonts w:ascii="Arial" w:hAnsi="Arial" w:cs="Arial"/>
          <w:sz w:val="24"/>
          <w:szCs w:val="24"/>
        </w:rPr>
        <w:t xml:space="preserve">dependencias </w:t>
      </w:r>
      <w:r w:rsidR="004044CC">
        <w:rPr>
          <w:rFonts w:ascii="Arial" w:hAnsi="Arial" w:cs="Arial"/>
          <w:sz w:val="24"/>
          <w:szCs w:val="24"/>
        </w:rPr>
        <w:t xml:space="preserve">en las que ejercen </w:t>
      </w:r>
      <w:r w:rsidRPr="00D01D40">
        <w:rPr>
          <w:rFonts w:ascii="Arial" w:hAnsi="Arial" w:cs="Arial"/>
          <w:sz w:val="24"/>
          <w:szCs w:val="24"/>
        </w:rPr>
        <w:t>el derecho de representación y de defensa:</w:t>
      </w:r>
    </w:p>
    <w:p w:rsidR="00D01D40" w:rsidRPr="00D01D40" w:rsidRDefault="00D01D40" w:rsidP="007E35AD">
      <w:pPr>
        <w:pStyle w:val="Prrafodelista"/>
        <w:spacing w:line="23" w:lineRule="atLeast"/>
        <w:rPr>
          <w:rFonts w:ascii="Arial" w:hAnsi="Arial" w:cs="Arial"/>
          <w:sz w:val="24"/>
          <w:szCs w:val="24"/>
        </w:rPr>
      </w:pPr>
    </w:p>
    <w:p w:rsidR="00D01D40" w:rsidRPr="00D01D40" w:rsidRDefault="00D01D40" w:rsidP="007E35AD">
      <w:pPr>
        <w:pStyle w:val="Prrafodelista"/>
        <w:spacing w:line="23" w:lineRule="atLeast"/>
        <w:ind w:left="284" w:hanging="284"/>
        <w:rPr>
          <w:rFonts w:ascii="Arial" w:hAnsi="Arial" w:cs="Arial"/>
          <w:sz w:val="24"/>
          <w:szCs w:val="24"/>
        </w:rPr>
      </w:pPr>
      <w:r w:rsidRPr="00D01D40">
        <w:rPr>
          <w:rFonts w:ascii="Arial" w:hAnsi="Arial" w:cs="Arial"/>
          <w:sz w:val="24"/>
          <w:szCs w:val="24"/>
        </w:rPr>
        <w:t>1.</w:t>
      </w:r>
      <w:r w:rsidRPr="00D01D40">
        <w:rPr>
          <w:rFonts w:ascii="Arial" w:hAnsi="Arial" w:cs="Arial"/>
          <w:sz w:val="24"/>
          <w:szCs w:val="24"/>
        </w:rPr>
        <w:tab/>
        <w:t>Sedes judiciales,</w:t>
      </w:r>
    </w:p>
    <w:p w:rsidR="00D01D40" w:rsidRPr="00D01D40" w:rsidRDefault="00D01D40" w:rsidP="007E35AD">
      <w:pPr>
        <w:pStyle w:val="Prrafodelista"/>
        <w:spacing w:line="23" w:lineRule="atLeast"/>
        <w:ind w:left="284" w:hanging="284"/>
        <w:rPr>
          <w:rFonts w:ascii="Arial" w:hAnsi="Arial" w:cs="Arial"/>
          <w:sz w:val="24"/>
          <w:szCs w:val="24"/>
        </w:rPr>
      </w:pPr>
      <w:r w:rsidRPr="00D01D40">
        <w:rPr>
          <w:rFonts w:ascii="Arial" w:hAnsi="Arial" w:cs="Arial"/>
          <w:sz w:val="24"/>
          <w:szCs w:val="24"/>
        </w:rPr>
        <w:t>2.</w:t>
      </w:r>
      <w:r w:rsidRPr="00D01D40">
        <w:rPr>
          <w:rFonts w:ascii="Arial" w:hAnsi="Arial" w:cs="Arial"/>
          <w:sz w:val="24"/>
          <w:szCs w:val="24"/>
        </w:rPr>
        <w:tab/>
        <w:t>Comisarías o cualquier otro centro de detención o internamiento,</w:t>
      </w:r>
    </w:p>
    <w:p w:rsidR="00D01D40" w:rsidRPr="00D01D40" w:rsidRDefault="00D01D40" w:rsidP="007E35AD">
      <w:pPr>
        <w:pStyle w:val="Prrafodelista"/>
        <w:spacing w:line="23" w:lineRule="atLeast"/>
        <w:ind w:left="284" w:hanging="284"/>
        <w:rPr>
          <w:rFonts w:ascii="Arial" w:hAnsi="Arial" w:cs="Arial"/>
          <w:sz w:val="24"/>
          <w:szCs w:val="24"/>
        </w:rPr>
      </w:pPr>
      <w:r w:rsidRPr="00D01D40">
        <w:rPr>
          <w:rFonts w:ascii="Arial" w:hAnsi="Arial" w:cs="Arial"/>
          <w:sz w:val="24"/>
          <w:szCs w:val="24"/>
        </w:rPr>
        <w:t>3.</w:t>
      </w:r>
      <w:r w:rsidRPr="00D01D40">
        <w:rPr>
          <w:rFonts w:ascii="Arial" w:hAnsi="Arial" w:cs="Arial"/>
          <w:sz w:val="24"/>
          <w:szCs w:val="24"/>
        </w:rPr>
        <w:tab/>
        <w:t>Centros Penitenciarios y</w:t>
      </w:r>
    </w:p>
    <w:p w:rsidR="00D01D40" w:rsidRPr="00D01D40" w:rsidRDefault="00D01D40" w:rsidP="007E35AD">
      <w:pPr>
        <w:pStyle w:val="Prrafodelista"/>
        <w:spacing w:line="23" w:lineRule="atLeast"/>
        <w:ind w:left="284" w:hanging="284"/>
        <w:rPr>
          <w:rFonts w:ascii="Arial" w:hAnsi="Arial" w:cs="Arial"/>
          <w:sz w:val="24"/>
          <w:szCs w:val="24"/>
        </w:rPr>
      </w:pPr>
      <w:r w:rsidRPr="00D01D40">
        <w:rPr>
          <w:rFonts w:ascii="Arial" w:hAnsi="Arial" w:cs="Arial"/>
          <w:sz w:val="24"/>
          <w:szCs w:val="24"/>
        </w:rPr>
        <w:t>4.</w:t>
      </w:r>
      <w:r w:rsidRPr="00D01D40">
        <w:rPr>
          <w:rFonts w:ascii="Arial" w:hAnsi="Arial" w:cs="Arial"/>
          <w:sz w:val="24"/>
          <w:szCs w:val="24"/>
        </w:rPr>
        <w:tab/>
        <w:t>Despachos profesionales.</w:t>
      </w:r>
    </w:p>
    <w:p w:rsidR="003A591B" w:rsidRDefault="003A591B" w:rsidP="007E35AD">
      <w:pPr>
        <w:spacing w:after="120" w:line="23" w:lineRule="atLeast"/>
        <w:jc w:val="both"/>
        <w:rPr>
          <w:rFonts w:ascii="Arial" w:hAnsi="Arial" w:cs="Arial"/>
          <w:iCs/>
          <w:color w:val="000000"/>
          <w:sz w:val="24"/>
          <w:szCs w:val="24"/>
        </w:rPr>
      </w:pPr>
    </w:p>
    <w:p w:rsidR="00132736" w:rsidRDefault="004044CC" w:rsidP="007E35AD">
      <w:pPr>
        <w:spacing w:after="120" w:line="23" w:lineRule="atLeast"/>
        <w:jc w:val="both"/>
        <w:rPr>
          <w:rFonts w:ascii="Arial" w:hAnsi="Arial" w:cs="Arial"/>
          <w:iCs/>
          <w:color w:val="000000"/>
          <w:sz w:val="24"/>
          <w:szCs w:val="24"/>
        </w:rPr>
      </w:pPr>
      <w:r>
        <w:rPr>
          <w:rFonts w:ascii="Arial" w:hAnsi="Arial" w:cs="Arial"/>
          <w:iCs/>
          <w:color w:val="000000"/>
          <w:sz w:val="24"/>
          <w:szCs w:val="24"/>
        </w:rPr>
        <w:t xml:space="preserve">El desplazamiento de estos profesionales de la administración de justicia </w:t>
      </w:r>
      <w:r w:rsidR="00947B04">
        <w:rPr>
          <w:rFonts w:ascii="Arial" w:hAnsi="Arial" w:cs="Arial"/>
          <w:iCs/>
          <w:color w:val="000000"/>
          <w:sz w:val="24"/>
          <w:szCs w:val="24"/>
        </w:rPr>
        <w:t xml:space="preserve">se autoriza </w:t>
      </w:r>
      <w:r>
        <w:rPr>
          <w:rFonts w:ascii="Arial" w:hAnsi="Arial" w:cs="Arial"/>
          <w:iCs/>
          <w:color w:val="000000"/>
          <w:sz w:val="24"/>
          <w:szCs w:val="24"/>
        </w:rPr>
        <w:t xml:space="preserve">asimismo </w:t>
      </w:r>
      <w:r w:rsidR="00947B04">
        <w:rPr>
          <w:rFonts w:ascii="Arial" w:hAnsi="Arial" w:cs="Arial"/>
          <w:iCs/>
          <w:color w:val="000000"/>
          <w:sz w:val="24"/>
          <w:szCs w:val="24"/>
        </w:rPr>
        <w:t xml:space="preserve">para </w:t>
      </w:r>
      <w:r w:rsidR="00132736">
        <w:rPr>
          <w:rFonts w:ascii="Arial" w:hAnsi="Arial" w:cs="Arial"/>
          <w:iCs/>
          <w:color w:val="000000"/>
          <w:sz w:val="24"/>
          <w:szCs w:val="24"/>
        </w:rPr>
        <w:t xml:space="preserve">el asesoramiento de </w:t>
      </w:r>
      <w:r w:rsidR="00132736" w:rsidRPr="00132736">
        <w:rPr>
          <w:rFonts w:ascii="Arial" w:hAnsi="Arial" w:cs="Arial"/>
          <w:iCs/>
          <w:color w:val="000000"/>
          <w:sz w:val="24"/>
          <w:szCs w:val="24"/>
        </w:rPr>
        <w:t>personas físicas y jurídicas</w:t>
      </w:r>
      <w:r w:rsidR="00132736">
        <w:rPr>
          <w:rFonts w:ascii="Arial" w:hAnsi="Arial" w:cs="Arial"/>
          <w:iCs/>
          <w:color w:val="000000"/>
          <w:sz w:val="24"/>
          <w:szCs w:val="24"/>
        </w:rPr>
        <w:t xml:space="preserve"> asociado a</w:t>
      </w:r>
      <w:r w:rsidR="00132736" w:rsidRPr="00132736">
        <w:rPr>
          <w:rFonts w:ascii="Arial" w:hAnsi="Arial" w:cs="Arial"/>
          <w:iCs/>
          <w:color w:val="000000"/>
          <w:sz w:val="24"/>
          <w:szCs w:val="24"/>
        </w:rPr>
        <w:t>l cumplimiento de sus obligaciones tributarias y la tramitación de expedientes de regulación temporal de empleo.</w:t>
      </w:r>
    </w:p>
    <w:p w:rsidR="00947B04" w:rsidRDefault="00947B04" w:rsidP="007E35AD">
      <w:pPr>
        <w:spacing w:after="120" w:line="23" w:lineRule="atLeast"/>
        <w:jc w:val="both"/>
        <w:rPr>
          <w:rFonts w:ascii="Arial" w:hAnsi="Arial" w:cs="Arial"/>
          <w:iCs/>
          <w:color w:val="000000"/>
          <w:sz w:val="24"/>
          <w:szCs w:val="24"/>
        </w:rPr>
      </w:pPr>
    </w:p>
    <w:p w:rsidR="00BB0D40" w:rsidRPr="007D066B" w:rsidRDefault="00BB0D40" w:rsidP="007E35AD">
      <w:pPr>
        <w:spacing w:after="120" w:line="23" w:lineRule="atLeast"/>
        <w:jc w:val="both"/>
        <w:rPr>
          <w:rFonts w:ascii="Arial" w:hAnsi="Arial" w:cs="Arial"/>
          <w:iCs/>
          <w:color w:val="000000"/>
          <w:sz w:val="24"/>
          <w:szCs w:val="24"/>
          <w:lang w:val="es-ES"/>
        </w:rPr>
      </w:pPr>
      <w:r w:rsidRPr="007D066B">
        <w:rPr>
          <w:rFonts w:ascii="Arial" w:hAnsi="Arial" w:cs="Arial"/>
          <w:iCs/>
          <w:color w:val="000000"/>
          <w:sz w:val="24"/>
          <w:szCs w:val="24"/>
        </w:rPr>
        <w:t>La presente Resolución producirá sus efectos desde el momento de su firma.</w:t>
      </w:r>
    </w:p>
    <w:p w:rsidR="003A591B" w:rsidRDefault="003A591B" w:rsidP="007E35AD">
      <w:pPr>
        <w:pStyle w:val="Sinespaciado"/>
        <w:spacing w:line="23" w:lineRule="atLeast"/>
        <w:rPr>
          <w:rFonts w:ascii="Arial" w:hAnsi="Arial" w:cs="Arial"/>
          <w:sz w:val="24"/>
          <w:szCs w:val="24"/>
          <w:lang w:val="es-ES"/>
        </w:rPr>
      </w:pPr>
    </w:p>
    <w:p w:rsidR="003A591B" w:rsidRPr="003A591B" w:rsidRDefault="003A591B" w:rsidP="007E35AD">
      <w:pPr>
        <w:pStyle w:val="Sinespaciado"/>
        <w:spacing w:line="23" w:lineRule="atLeast"/>
        <w:rPr>
          <w:rFonts w:ascii="Arial" w:hAnsi="Arial" w:cs="Arial"/>
          <w:sz w:val="24"/>
          <w:szCs w:val="24"/>
          <w:lang w:val="es-ES"/>
        </w:rPr>
      </w:pPr>
      <w:r w:rsidRPr="003A591B">
        <w:rPr>
          <w:rFonts w:ascii="Arial" w:hAnsi="Arial" w:cs="Arial"/>
          <w:sz w:val="24"/>
          <w:szCs w:val="24"/>
          <w:lang w:val="es-ES"/>
        </w:rPr>
        <w:t xml:space="preserve">En Madrid a </w:t>
      </w:r>
      <w:r w:rsidR="00FA42E7">
        <w:rPr>
          <w:rFonts w:ascii="Arial" w:hAnsi="Arial" w:cs="Arial"/>
          <w:sz w:val="24"/>
          <w:szCs w:val="24"/>
          <w:lang w:val="es-ES"/>
        </w:rPr>
        <w:t>30</w:t>
      </w:r>
      <w:bookmarkStart w:id="0" w:name="_GoBack"/>
      <w:bookmarkEnd w:id="0"/>
      <w:r w:rsidRPr="003A591B">
        <w:rPr>
          <w:rFonts w:ascii="Arial" w:hAnsi="Arial" w:cs="Arial"/>
          <w:sz w:val="24"/>
          <w:szCs w:val="24"/>
          <w:lang w:val="es-ES"/>
        </w:rPr>
        <w:t xml:space="preserve"> de marzo de 2020</w:t>
      </w:r>
    </w:p>
    <w:p w:rsidR="003A591B" w:rsidRPr="003A591B" w:rsidRDefault="003A591B" w:rsidP="007E35AD">
      <w:pPr>
        <w:pStyle w:val="Sinespaciado"/>
        <w:spacing w:line="23" w:lineRule="atLeast"/>
        <w:rPr>
          <w:rFonts w:ascii="Arial" w:hAnsi="Arial" w:cs="Arial"/>
          <w:sz w:val="24"/>
          <w:szCs w:val="24"/>
          <w:lang w:val="es-ES"/>
        </w:rPr>
      </w:pPr>
    </w:p>
    <w:p w:rsidR="003A591B" w:rsidRPr="003A591B" w:rsidRDefault="003A591B" w:rsidP="003A591B">
      <w:pPr>
        <w:pStyle w:val="Sinespaciado"/>
        <w:rPr>
          <w:rFonts w:ascii="Arial" w:hAnsi="Arial" w:cs="Arial"/>
          <w:sz w:val="24"/>
          <w:szCs w:val="24"/>
        </w:rPr>
      </w:pPr>
      <w:r w:rsidRPr="003A591B">
        <w:rPr>
          <w:rFonts w:ascii="Arial" w:hAnsi="Arial" w:cs="Arial"/>
          <w:sz w:val="24"/>
          <w:szCs w:val="24"/>
          <w:lang w:val="es-ES"/>
        </w:rPr>
        <w:t>El Ministro de Justicia, Juan Carlos Campo Moreno</w:t>
      </w:r>
    </w:p>
    <w:p w:rsidR="00BB0D40" w:rsidRPr="00645552" w:rsidRDefault="00BB0D40" w:rsidP="00BB0D40">
      <w:pPr>
        <w:spacing w:after="120" w:line="276" w:lineRule="auto"/>
        <w:jc w:val="center"/>
        <w:rPr>
          <w:rFonts w:ascii="Arial" w:eastAsia="Calibri" w:hAnsi="Arial" w:cs="Arial"/>
          <w:sz w:val="24"/>
          <w:szCs w:val="24"/>
          <w:lang w:val="es-ES" w:eastAsia="en-US"/>
        </w:rPr>
      </w:pPr>
    </w:p>
    <w:p w:rsidR="00E24431" w:rsidRDefault="00FA42E7" w:rsidP="00FE3AC1">
      <w:pPr>
        <w:tabs>
          <w:tab w:val="left" w:pos="8080"/>
        </w:tabs>
      </w:pPr>
    </w:p>
    <w:sectPr w:rsidR="00E24431" w:rsidSect="00BB0D40">
      <w:pgSz w:w="11906" w:h="16838" w:code="9"/>
      <w:pgMar w:top="1418" w:right="1134" w:bottom="1134" w:left="1134" w:header="340" w:footer="227" w:gutter="0"/>
      <w:cols w:space="720" w:equalWidth="0">
        <w:col w:w="9638"/>
      </w:cols>
      <w:formProt w:val="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67E12"/>
    <w:multiLevelType w:val="hybridMultilevel"/>
    <w:tmpl w:val="8C68085E"/>
    <w:lvl w:ilvl="0" w:tplc="07743B76">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 w15:restartNumberingAfterBreak="0">
    <w:nsid w:val="65E42675"/>
    <w:multiLevelType w:val="hybridMultilevel"/>
    <w:tmpl w:val="BD1215AA"/>
    <w:lvl w:ilvl="0" w:tplc="A7A4DDD4">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0AA"/>
    <w:rsid w:val="000A74AF"/>
    <w:rsid w:val="00132736"/>
    <w:rsid w:val="00151DE1"/>
    <w:rsid w:val="002F551E"/>
    <w:rsid w:val="003A591B"/>
    <w:rsid w:val="004044CC"/>
    <w:rsid w:val="004103E0"/>
    <w:rsid w:val="00696C0F"/>
    <w:rsid w:val="007420AA"/>
    <w:rsid w:val="007E35AD"/>
    <w:rsid w:val="00947B04"/>
    <w:rsid w:val="009E0476"/>
    <w:rsid w:val="00BB0D40"/>
    <w:rsid w:val="00D01D40"/>
    <w:rsid w:val="00D36074"/>
    <w:rsid w:val="00DA351A"/>
    <w:rsid w:val="00E91A9B"/>
    <w:rsid w:val="00FA42E7"/>
    <w:rsid w:val="00FE3A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C2448"/>
  <w15:chartTrackingRefBased/>
  <w15:docId w15:val="{BE1DC0FA-D89D-410C-9B3C-07DF6DE48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D40"/>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B0D40"/>
    <w:pPr>
      <w:ind w:left="720"/>
      <w:contextualSpacing/>
    </w:pPr>
  </w:style>
  <w:style w:type="paragraph" w:styleId="Sinespaciado">
    <w:name w:val="No Spacing"/>
    <w:uiPriority w:val="1"/>
    <w:qFormat/>
    <w:rsid w:val="003A591B"/>
    <w:pPr>
      <w:spacing w:after="0" w:line="240" w:lineRule="auto"/>
    </w:pPr>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3</Pages>
  <Words>1052</Words>
  <Characters>5788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Ministerio de Justicia</Company>
  <LinksUpToDate>false</LinksUpToDate>
  <CharactersWithSpaces>6827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VARGUES VALENCIA, FRANCISCO DE BORJA</dc:creator>
  <cp:keywords/>
  <dc:description/>
  <cp:lastModifiedBy>ZAPATERO MIGUEL, PABLO</cp:lastModifiedBy>
  <cp:revision>13</cp:revision>
  <dcterms:created xsi:type="dcterms:W3CDTF">2020-03-28T21:18:00Z</dcterms:created>
  <dcterms:modified xsi:type="dcterms:W3CDTF">2020-03-30T09:04:00Z</dcterms:modified>
</cp:coreProperties>
</file>