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5470" w:rsidRDefault="00315470"/>
    <w:p w:rsidR="00315470" w:rsidRPr="003A070C" w:rsidRDefault="00315470">
      <w:pPr>
        <w:rPr>
          <w:rFonts w:ascii="Verdana" w:hAnsi="Verdana"/>
        </w:rPr>
      </w:pPr>
    </w:p>
    <w:p w:rsidR="00315470" w:rsidRPr="003A070C" w:rsidRDefault="00315470" w:rsidP="00AB629D">
      <w:pPr>
        <w:pBdr>
          <w:top w:val="single" w:sz="4" w:space="1" w:color="943634"/>
          <w:bottom w:val="single" w:sz="4" w:space="1" w:color="943634"/>
        </w:pBdr>
        <w:jc w:val="center"/>
        <w:rPr>
          <w:rFonts w:ascii="Verdana" w:hAnsi="Verdana"/>
          <w:color w:val="800000"/>
          <w:sz w:val="56"/>
          <w:szCs w:val="56"/>
        </w:rPr>
      </w:pPr>
      <w:r w:rsidRPr="003A070C">
        <w:rPr>
          <w:rFonts w:ascii="Verdana" w:hAnsi="Verdana"/>
          <w:color w:val="800000"/>
          <w:sz w:val="56"/>
          <w:szCs w:val="56"/>
        </w:rPr>
        <w:t xml:space="preserve">El </w:t>
      </w:r>
      <w:r w:rsidRPr="003A070C">
        <w:rPr>
          <w:rFonts w:ascii="Verdana" w:hAnsi="Verdana"/>
          <w:b/>
          <w:color w:val="800000"/>
          <w:sz w:val="56"/>
          <w:szCs w:val="56"/>
        </w:rPr>
        <w:t>CGPJ</w:t>
      </w:r>
      <w:r w:rsidRPr="003A070C">
        <w:rPr>
          <w:rFonts w:ascii="Verdana" w:hAnsi="Verdana"/>
          <w:color w:val="800000"/>
          <w:sz w:val="56"/>
          <w:szCs w:val="56"/>
        </w:rPr>
        <w:t xml:space="preserve"> informa</w:t>
      </w:r>
    </w:p>
    <w:p w:rsidR="00F133CF" w:rsidRPr="003A070C" w:rsidRDefault="00F133CF" w:rsidP="00F133CF">
      <w:pPr>
        <w:rPr>
          <w:rFonts w:ascii="Verdana" w:hAnsi="Verdana"/>
          <w:b/>
          <w:sz w:val="28"/>
          <w:szCs w:val="28"/>
        </w:rPr>
      </w:pPr>
    </w:p>
    <w:p w:rsidR="00213F4B" w:rsidRDefault="00213F4B" w:rsidP="00F133CF">
      <w:pPr>
        <w:rPr>
          <w:rFonts w:ascii="Verdana" w:hAnsi="Verdana"/>
          <w:b/>
          <w:sz w:val="28"/>
          <w:szCs w:val="28"/>
        </w:rPr>
      </w:pPr>
    </w:p>
    <w:p w:rsidR="00881BEB" w:rsidRDefault="00DA4EA3" w:rsidP="00881BEB">
      <w:pPr>
        <w:jc w:val="center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 xml:space="preserve">El CGPJ </w:t>
      </w:r>
      <w:r w:rsidR="00063933">
        <w:rPr>
          <w:rFonts w:ascii="Verdana" w:hAnsi="Verdana"/>
          <w:b/>
          <w:sz w:val="28"/>
          <w:szCs w:val="28"/>
        </w:rPr>
        <w:t>levanta las limitaciones a la presentación de escritos por</w:t>
      </w:r>
      <w:r w:rsidR="000A4F02">
        <w:rPr>
          <w:rFonts w:ascii="Verdana" w:hAnsi="Verdana"/>
          <w:b/>
          <w:sz w:val="28"/>
          <w:szCs w:val="28"/>
        </w:rPr>
        <w:t xml:space="preserve"> medios telemáticos </w:t>
      </w:r>
    </w:p>
    <w:p w:rsidR="00881BEB" w:rsidRDefault="00881BEB" w:rsidP="00881BEB">
      <w:pPr>
        <w:jc w:val="both"/>
        <w:rPr>
          <w:rFonts w:ascii="Verdana" w:hAnsi="Verdana"/>
        </w:rPr>
      </w:pPr>
    </w:p>
    <w:p w:rsidR="001015BB" w:rsidRDefault="001015BB" w:rsidP="00AE5FBE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>
        <w:rPr>
          <w:rFonts w:ascii="Verdana" w:hAnsi="Verdana"/>
        </w:rPr>
        <w:t>A partir del próximo miércoles 15 de abril</w:t>
      </w:r>
    </w:p>
    <w:p w:rsidR="001015BB" w:rsidRDefault="001015BB" w:rsidP="001015BB">
      <w:pPr>
        <w:pStyle w:val="Prrafodelista"/>
        <w:jc w:val="both"/>
        <w:rPr>
          <w:rFonts w:ascii="Verdana" w:hAnsi="Verdana"/>
        </w:rPr>
      </w:pPr>
    </w:p>
    <w:p w:rsidR="00A73D3E" w:rsidRDefault="000A4F02" w:rsidP="00AE5FBE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>
        <w:rPr>
          <w:rFonts w:ascii="Verdana" w:hAnsi="Verdana"/>
        </w:rPr>
        <w:t>La tramitación posterior quedará suspendida en el momento en que e</w:t>
      </w:r>
      <w:r w:rsidR="00B05A89">
        <w:rPr>
          <w:rFonts w:ascii="Verdana" w:hAnsi="Verdana"/>
        </w:rPr>
        <w:t>sta</w:t>
      </w:r>
      <w:r>
        <w:rPr>
          <w:rFonts w:ascii="Verdana" w:hAnsi="Verdana"/>
        </w:rPr>
        <w:t xml:space="preserve"> dé lugar a una actuación procesal que a</w:t>
      </w:r>
      <w:r w:rsidR="00B05A89">
        <w:rPr>
          <w:rFonts w:ascii="Verdana" w:hAnsi="Verdana"/>
        </w:rPr>
        <w:t>bra</w:t>
      </w:r>
      <w:r>
        <w:rPr>
          <w:rFonts w:ascii="Verdana" w:hAnsi="Verdana"/>
        </w:rPr>
        <w:t xml:space="preserve"> un plazo</w:t>
      </w:r>
      <w:r w:rsidR="00B05A89">
        <w:rPr>
          <w:rFonts w:ascii="Verdana" w:hAnsi="Verdana"/>
        </w:rPr>
        <w:t>, salvo que se trate de actuaciones declaradas esenciales</w:t>
      </w:r>
    </w:p>
    <w:p w:rsidR="00A73D3E" w:rsidRDefault="00A73D3E" w:rsidP="00A73D3E">
      <w:pPr>
        <w:pStyle w:val="Prrafodelista"/>
        <w:jc w:val="both"/>
        <w:rPr>
          <w:rFonts w:ascii="Verdana" w:hAnsi="Verdana"/>
        </w:rPr>
      </w:pPr>
    </w:p>
    <w:p w:rsidR="00842B4E" w:rsidRPr="00063933" w:rsidRDefault="000A4F02" w:rsidP="004727FA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063933">
        <w:rPr>
          <w:rFonts w:ascii="Verdana" w:hAnsi="Verdana"/>
        </w:rPr>
        <w:t xml:space="preserve">La Comisión Permanente </w:t>
      </w:r>
      <w:r w:rsidR="00063933" w:rsidRPr="00063933">
        <w:rPr>
          <w:rFonts w:ascii="Verdana" w:hAnsi="Verdana"/>
        </w:rPr>
        <w:t xml:space="preserve">hace un llamamiento </w:t>
      </w:r>
      <w:r w:rsidR="00842B4E" w:rsidRPr="00063933">
        <w:rPr>
          <w:rFonts w:ascii="Verdana" w:hAnsi="Verdana"/>
        </w:rPr>
        <w:t xml:space="preserve">a las Administraciones prestacionales para </w:t>
      </w:r>
      <w:r w:rsidR="00B05A89">
        <w:rPr>
          <w:rFonts w:ascii="Verdana" w:hAnsi="Verdana"/>
        </w:rPr>
        <w:t xml:space="preserve">garantizar que los órganos judiciales </w:t>
      </w:r>
      <w:r w:rsidR="00842B4E" w:rsidRPr="00063933">
        <w:rPr>
          <w:rFonts w:ascii="Verdana" w:hAnsi="Verdana"/>
        </w:rPr>
        <w:t>dispongan los medios personales y materiales necesarios para llevar a cabo estas actuaciones</w:t>
      </w:r>
    </w:p>
    <w:p w:rsidR="00FE1AD6" w:rsidRPr="00AE5FBE" w:rsidRDefault="00FE1AD6" w:rsidP="00894FAB">
      <w:pPr>
        <w:ind w:left="360"/>
        <w:jc w:val="both"/>
        <w:rPr>
          <w:rFonts w:ascii="Verdana" w:hAnsi="Verdana"/>
        </w:rPr>
      </w:pPr>
    </w:p>
    <w:p w:rsidR="00C13BB4" w:rsidRDefault="00C13BB4" w:rsidP="00C13BB4">
      <w:pPr>
        <w:ind w:left="720"/>
        <w:jc w:val="both"/>
        <w:rPr>
          <w:rFonts w:ascii="Verdana" w:hAnsi="Verdana"/>
        </w:rPr>
      </w:pPr>
    </w:p>
    <w:p w:rsidR="00F133CF" w:rsidRPr="00F133CF" w:rsidRDefault="00F133CF" w:rsidP="00F133CF">
      <w:pPr>
        <w:rPr>
          <w:rFonts w:ascii="Verdana" w:hAnsi="Verdana"/>
          <w:sz w:val="22"/>
          <w:szCs w:val="22"/>
        </w:rPr>
      </w:pPr>
      <w:r w:rsidRPr="00F133CF">
        <w:rPr>
          <w:rFonts w:ascii="Verdana" w:hAnsi="Verdana"/>
          <w:sz w:val="22"/>
          <w:szCs w:val="22"/>
        </w:rPr>
        <w:t xml:space="preserve">Madrid, </w:t>
      </w:r>
      <w:r w:rsidR="000A4F02">
        <w:rPr>
          <w:rFonts w:ascii="Verdana" w:hAnsi="Verdana"/>
          <w:sz w:val="22"/>
          <w:szCs w:val="22"/>
        </w:rPr>
        <w:t>13</w:t>
      </w:r>
      <w:r w:rsidR="00BB353D">
        <w:rPr>
          <w:rFonts w:ascii="Verdana" w:hAnsi="Verdana"/>
          <w:sz w:val="22"/>
          <w:szCs w:val="22"/>
        </w:rPr>
        <w:t xml:space="preserve"> de </w:t>
      </w:r>
      <w:r w:rsidR="00A73D3E">
        <w:rPr>
          <w:rFonts w:ascii="Verdana" w:hAnsi="Verdana"/>
          <w:sz w:val="22"/>
          <w:szCs w:val="22"/>
        </w:rPr>
        <w:t>abril</w:t>
      </w:r>
      <w:r w:rsidR="00AD1F86">
        <w:rPr>
          <w:rFonts w:ascii="Verdana" w:hAnsi="Verdana"/>
          <w:sz w:val="22"/>
          <w:szCs w:val="22"/>
        </w:rPr>
        <w:t xml:space="preserve"> </w:t>
      </w:r>
      <w:r w:rsidRPr="00F133CF">
        <w:rPr>
          <w:rFonts w:ascii="Verdana" w:hAnsi="Verdana"/>
          <w:sz w:val="22"/>
          <w:szCs w:val="22"/>
        </w:rPr>
        <w:t xml:space="preserve">de </w:t>
      </w:r>
      <w:r w:rsidR="008D1265">
        <w:rPr>
          <w:rFonts w:ascii="Verdana" w:hAnsi="Verdana"/>
          <w:sz w:val="22"/>
          <w:szCs w:val="22"/>
        </w:rPr>
        <w:t>20</w:t>
      </w:r>
      <w:r w:rsidR="006B06A8">
        <w:rPr>
          <w:rFonts w:ascii="Verdana" w:hAnsi="Verdana"/>
          <w:sz w:val="22"/>
          <w:szCs w:val="22"/>
        </w:rPr>
        <w:t>20</w:t>
      </w:r>
      <w:r w:rsidRPr="00F133CF">
        <w:rPr>
          <w:rFonts w:ascii="Verdana" w:hAnsi="Verdana"/>
          <w:sz w:val="22"/>
          <w:szCs w:val="22"/>
        </w:rPr>
        <w:t>.-</w:t>
      </w:r>
    </w:p>
    <w:p w:rsidR="00F133CF" w:rsidRDefault="00F133CF" w:rsidP="00F133CF">
      <w:pPr>
        <w:jc w:val="both"/>
        <w:rPr>
          <w:rFonts w:ascii="Verdana" w:hAnsi="Verdana"/>
          <w:sz w:val="22"/>
          <w:szCs w:val="22"/>
        </w:rPr>
      </w:pPr>
    </w:p>
    <w:p w:rsidR="00F42C68" w:rsidRDefault="00894FAB" w:rsidP="00894FAB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La Comisión Permanente del </w:t>
      </w:r>
      <w:r w:rsidR="00085DC5">
        <w:rPr>
          <w:rFonts w:ascii="Verdana" w:hAnsi="Verdana"/>
          <w:sz w:val="22"/>
          <w:szCs w:val="22"/>
        </w:rPr>
        <w:t>Consejo General del Poder Judicial</w:t>
      </w:r>
      <w:r w:rsidR="00A73D3E">
        <w:rPr>
          <w:rFonts w:ascii="Verdana" w:hAnsi="Verdana"/>
          <w:sz w:val="22"/>
          <w:szCs w:val="22"/>
        </w:rPr>
        <w:t xml:space="preserve"> ha acordado </w:t>
      </w:r>
      <w:r w:rsidR="00063933">
        <w:rPr>
          <w:rFonts w:ascii="Verdana" w:hAnsi="Verdana"/>
          <w:sz w:val="22"/>
          <w:szCs w:val="22"/>
        </w:rPr>
        <w:t xml:space="preserve">hoy, de forma consensuada con el Ministerio de Justicia, </w:t>
      </w:r>
      <w:r w:rsidR="00A73D3E">
        <w:rPr>
          <w:rFonts w:ascii="Verdana" w:hAnsi="Verdana"/>
          <w:sz w:val="22"/>
          <w:szCs w:val="22"/>
        </w:rPr>
        <w:t>levantar</w:t>
      </w:r>
      <w:r w:rsidR="001015BB">
        <w:rPr>
          <w:rFonts w:ascii="Verdana" w:hAnsi="Verdana"/>
          <w:sz w:val="22"/>
          <w:szCs w:val="22"/>
        </w:rPr>
        <w:t xml:space="preserve"> a partir del próximo miércoles 15 de abril</w:t>
      </w:r>
      <w:bookmarkStart w:id="0" w:name="_GoBack"/>
      <w:bookmarkEnd w:id="0"/>
      <w:r w:rsidR="000A4F02">
        <w:rPr>
          <w:rFonts w:ascii="Verdana" w:hAnsi="Verdana"/>
          <w:sz w:val="22"/>
          <w:szCs w:val="22"/>
        </w:rPr>
        <w:t xml:space="preserve"> </w:t>
      </w:r>
      <w:r w:rsidR="00A73D3E">
        <w:rPr>
          <w:rFonts w:ascii="Verdana" w:hAnsi="Verdana"/>
          <w:sz w:val="22"/>
          <w:szCs w:val="22"/>
        </w:rPr>
        <w:t xml:space="preserve">las limitaciones </w:t>
      </w:r>
      <w:r w:rsidR="00432AEC">
        <w:rPr>
          <w:rFonts w:ascii="Verdana" w:hAnsi="Verdana"/>
          <w:sz w:val="22"/>
          <w:szCs w:val="22"/>
        </w:rPr>
        <w:t xml:space="preserve">establecidas el pasado 18 de marzo </w:t>
      </w:r>
      <w:r w:rsidR="00A73D3E">
        <w:rPr>
          <w:rFonts w:ascii="Verdana" w:hAnsi="Verdana"/>
          <w:sz w:val="22"/>
          <w:szCs w:val="22"/>
        </w:rPr>
        <w:t xml:space="preserve">a la presentación de escritos por medios telemáticos a través de LexNET o de los sistemas equivalentes habilitados en </w:t>
      </w:r>
      <w:r w:rsidR="00A73D3E" w:rsidRPr="00A73D3E">
        <w:rPr>
          <w:rFonts w:ascii="Verdana" w:hAnsi="Verdana"/>
          <w:sz w:val="22"/>
          <w:szCs w:val="22"/>
        </w:rPr>
        <w:t>Aragón, Cantabria, Cataluña</w:t>
      </w:r>
      <w:r w:rsidR="00A73D3E">
        <w:rPr>
          <w:rFonts w:ascii="Verdana" w:hAnsi="Verdana"/>
          <w:sz w:val="22"/>
          <w:szCs w:val="22"/>
        </w:rPr>
        <w:t>, Navarra</w:t>
      </w:r>
      <w:r w:rsidR="00A73D3E" w:rsidRPr="00A73D3E">
        <w:rPr>
          <w:rFonts w:ascii="Verdana" w:hAnsi="Verdana"/>
          <w:sz w:val="22"/>
          <w:szCs w:val="22"/>
        </w:rPr>
        <w:t xml:space="preserve"> y el País Vasco</w:t>
      </w:r>
      <w:r w:rsidR="00A73D3E">
        <w:rPr>
          <w:rFonts w:ascii="Verdana" w:hAnsi="Verdana"/>
          <w:sz w:val="22"/>
          <w:szCs w:val="22"/>
        </w:rPr>
        <w:t>.</w:t>
      </w:r>
    </w:p>
    <w:p w:rsidR="00842B4E" w:rsidRDefault="00842B4E" w:rsidP="00894FAB">
      <w:pPr>
        <w:jc w:val="both"/>
        <w:rPr>
          <w:rFonts w:ascii="Verdana" w:hAnsi="Verdana"/>
          <w:sz w:val="22"/>
          <w:szCs w:val="22"/>
        </w:rPr>
      </w:pPr>
    </w:p>
    <w:p w:rsidR="00842B4E" w:rsidRDefault="00842B4E" w:rsidP="00894FAB">
      <w:pPr>
        <w:jc w:val="both"/>
        <w:rPr>
          <w:rFonts w:ascii="Verdana" w:hAnsi="Verdana"/>
          <w:sz w:val="22"/>
          <w:szCs w:val="22"/>
        </w:rPr>
      </w:pPr>
      <w:r w:rsidRPr="00842B4E">
        <w:rPr>
          <w:rFonts w:ascii="Verdana" w:hAnsi="Verdana"/>
          <w:sz w:val="22"/>
          <w:szCs w:val="22"/>
        </w:rPr>
        <w:t>“</w:t>
      </w:r>
      <w:r>
        <w:rPr>
          <w:rFonts w:ascii="Verdana" w:hAnsi="Verdana"/>
          <w:sz w:val="22"/>
          <w:szCs w:val="22"/>
        </w:rPr>
        <w:t>L</w:t>
      </w:r>
      <w:r w:rsidRPr="00842B4E">
        <w:rPr>
          <w:rFonts w:ascii="Verdana" w:hAnsi="Verdana"/>
          <w:sz w:val="22"/>
          <w:szCs w:val="22"/>
        </w:rPr>
        <w:t>a evolución de las circunstancias de la crisis sanitaria ocasionada por el COVID-19 permite contemplar un nuevo escenario de mayor actividad en todos los sectores, y en particular en el funcionamiento de la administración de justicia, que autoriza a fijar las bases del restablecimiento pleno de la prestación del servicio público al que sirve el ejercicio de la función jurisdiccional, evitando de ese modo su paralización y colapso con la subsiguiente la lesión de los derechos e intereses de los particulares”</w:t>
      </w:r>
      <w:r>
        <w:rPr>
          <w:rFonts w:ascii="Verdana" w:hAnsi="Verdana"/>
          <w:sz w:val="22"/>
          <w:szCs w:val="22"/>
        </w:rPr>
        <w:t>, señala el órgano de gobierno de los jueces.</w:t>
      </w:r>
    </w:p>
    <w:p w:rsidR="00263CDF" w:rsidRDefault="00263CDF" w:rsidP="00894FAB">
      <w:pPr>
        <w:jc w:val="both"/>
        <w:rPr>
          <w:rFonts w:ascii="Verdana" w:hAnsi="Verdana"/>
          <w:sz w:val="22"/>
          <w:szCs w:val="22"/>
        </w:rPr>
      </w:pPr>
    </w:p>
    <w:p w:rsidR="00063933" w:rsidRDefault="00063933" w:rsidP="00894FAB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De este modo, en las actuaciones y servicios no esenciales “cabrá la presentación de los escritos iniciadores del procedimiento, su registro y reparto, así como su tramitación conforme a las normas procesales aplicables hasta el momento en que dé lugar a una actuación procesal que abra un plazo </w:t>
      </w:r>
      <w:r>
        <w:rPr>
          <w:rFonts w:ascii="Verdana" w:hAnsi="Verdana"/>
          <w:sz w:val="22"/>
          <w:szCs w:val="22"/>
        </w:rPr>
        <w:lastRenderedPageBreak/>
        <w:t>que deba ser suspendido por virtud de la disposición adicional segunda del Real Decreto 463/2020”, por el que se declaró el estado de alarma.</w:t>
      </w:r>
    </w:p>
    <w:p w:rsidR="00063933" w:rsidRDefault="00063933" w:rsidP="00894FAB">
      <w:pPr>
        <w:jc w:val="both"/>
        <w:rPr>
          <w:rFonts w:ascii="Verdana" w:hAnsi="Verdana"/>
          <w:sz w:val="22"/>
          <w:szCs w:val="22"/>
        </w:rPr>
      </w:pPr>
    </w:p>
    <w:p w:rsidR="00063933" w:rsidRDefault="00263CDF" w:rsidP="00894FAB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El acuerdo añade que “</w:t>
      </w:r>
      <w:r w:rsidR="00063933">
        <w:rPr>
          <w:rFonts w:ascii="Verdana" w:hAnsi="Verdana"/>
          <w:sz w:val="22"/>
          <w:szCs w:val="22"/>
        </w:rPr>
        <w:t xml:space="preserve">lo mismo sucederá respecto de los escritos de trámite, no vinculados </w:t>
      </w:r>
      <w:r w:rsidR="000A4F02">
        <w:rPr>
          <w:rFonts w:ascii="Verdana" w:hAnsi="Verdana"/>
          <w:sz w:val="22"/>
          <w:szCs w:val="22"/>
        </w:rPr>
        <w:t xml:space="preserve">a términos o plazos interrumpidos o suspendidos, </w:t>
      </w:r>
      <w:r w:rsidR="00063933">
        <w:rPr>
          <w:rFonts w:ascii="Verdana" w:hAnsi="Verdana"/>
          <w:sz w:val="22"/>
          <w:szCs w:val="22"/>
        </w:rPr>
        <w:t>y hasta que den lugar a actuaciones procesales que abran plazos procesales que deban quedar suspendidos” por virtud de la referida disposición adicional.</w:t>
      </w:r>
    </w:p>
    <w:p w:rsidR="00063933" w:rsidRDefault="00063933" w:rsidP="00894FAB">
      <w:pPr>
        <w:jc w:val="both"/>
        <w:rPr>
          <w:rFonts w:ascii="Verdana" w:hAnsi="Verdana"/>
          <w:sz w:val="22"/>
          <w:szCs w:val="22"/>
        </w:rPr>
      </w:pPr>
    </w:p>
    <w:p w:rsidR="00432AEC" w:rsidRDefault="00432AEC" w:rsidP="00894FAB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Esta regla será de aplicación tanto a las actuaciones de primera instancia como a las actuaciones de instancias sucesivas y del recurso de casación.</w:t>
      </w:r>
      <w:r w:rsidR="00063933">
        <w:rPr>
          <w:rFonts w:ascii="Verdana" w:hAnsi="Verdana"/>
          <w:sz w:val="22"/>
          <w:szCs w:val="22"/>
        </w:rPr>
        <w:t xml:space="preserve"> También será aplicable a las actuaciones del Registro Civil no consideradas esenciales.</w:t>
      </w:r>
    </w:p>
    <w:p w:rsidR="00063933" w:rsidRDefault="00063933" w:rsidP="00894FAB">
      <w:pPr>
        <w:jc w:val="both"/>
        <w:rPr>
          <w:rFonts w:ascii="Verdana" w:hAnsi="Verdana"/>
          <w:sz w:val="22"/>
          <w:szCs w:val="22"/>
        </w:rPr>
      </w:pPr>
    </w:p>
    <w:p w:rsidR="00063933" w:rsidRDefault="00063933" w:rsidP="00894FAB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Las actuaciones y servicios se realizarán de acuerdo con los medios personales disponibles, cuya suficiencia será val</w:t>
      </w:r>
      <w:r w:rsidR="00B05A89">
        <w:rPr>
          <w:rFonts w:ascii="Verdana" w:hAnsi="Verdana"/>
          <w:sz w:val="22"/>
          <w:szCs w:val="22"/>
        </w:rPr>
        <w:t>orada</w:t>
      </w:r>
      <w:r>
        <w:rPr>
          <w:rFonts w:ascii="Verdana" w:hAnsi="Verdana"/>
          <w:sz w:val="22"/>
          <w:szCs w:val="22"/>
        </w:rPr>
        <w:t xml:space="preserve"> semanalmente por la Comisión Mixta CGPJ-Ministerio de Justicia constituida para </w:t>
      </w:r>
      <w:r w:rsidR="00B05A89">
        <w:rPr>
          <w:rFonts w:ascii="Verdana" w:hAnsi="Verdana"/>
          <w:sz w:val="22"/>
          <w:szCs w:val="22"/>
        </w:rPr>
        <w:t>evaluar los efectos de las disposiciones adoptadas como consecuencia de la pandemia de COVID-19 en el funcionamiento de la Administración de Justicia y adoptar las medidas que procedan.</w:t>
      </w:r>
      <w:r>
        <w:rPr>
          <w:rFonts w:ascii="Verdana" w:hAnsi="Verdana"/>
          <w:sz w:val="22"/>
          <w:szCs w:val="22"/>
        </w:rPr>
        <w:t xml:space="preserve"> </w:t>
      </w:r>
    </w:p>
    <w:p w:rsidR="00063933" w:rsidRDefault="00063933" w:rsidP="00894FAB">
      <w:pPr>
        <w:jc w:val="both"/>
        <w:rPr>
          <w:rFonts w:ascii="Verdana" w:hAnsi="Verdana"/>
          <w:sz w:val="22"/>
          <w:szCs w:val="22"/>
        </w:rPr>
      </w:pPr>
    </w:p>
    <w:p w:rsidR="00842B4E" w:rsidRDefault="00063933" w:rsidP="00842B4E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En este sentido, el órgano de gobierno de los jueces ha hecho hoy un llamamiento a las Administraciones </w:t>
      </w:r>
      <w:r w:rsidR="00842B4E" w:rsidRPr="00842B4E">
        <w:rPr>
          <w:rFonts w:ascii="Verdana" w:hAnsi="Verdana"/>
          <w:sz w:val="22"/>
          <w:szCs w:val="22"/>
        </w:rPr>
        <w:t>prestacionales para que adopten las medidas precisas a fin de garantizar que los órganos judiciales dispondrán de los medios personales y materiales necesarios para llevar a efecto las anteriores actuaciones</w:t>
      </w:r>
      <w:r>
        <w:rPr>
          <w:rFonts w:ascii="Verdana" w:hAnsi="Verdana"/>
          <w:sz w:val="22"/>
          <w:szCs w:val="22"/>
        </w:rPr>
        <w:t>, lo que será objeto de seguimiento semanal en la referida Comisión Mixta.</w:t>
      </w:r>
      <w:r w:rsidR="00842B4E">
        <w:rPr>
          <w:rFonts w:ascii="Verdana" w:hAnsi="Verdana"/>
          <w:sz w:val="22"/>
          <w:szCs w:val="22"/>
        </w:rPr>
        <w:t xml:space="preserve"> </w:t>
      </w:r>
    </w:p>
    <w:p w:rsidR="00842B4E" w:rsidRDefault="00842B4E" w:rsidP="00894FAB">
      <w:pPr>
        <w:jc w:val="both"/>
        <w:rPr>
          <w:rFonts w:ascii="Verdana" w:hAnsi="Verdana"/>
          <w:sz w:val="22"/>
          <w:szCs w:val="22"/>
        </w:rPr>
      </w:pPr>
    </w:p>
    <w:p w:rsidR="00263CDF" w:rsidRDefault="00263CDF" w:rsidP="00894FAB">
      <w:pPr>
        <w:jc w:val="both"/>
        <w:rPr>
          <w:rFonts w:ascii="Verdana" w:hAnsi="Verdana"/>
          <w:sz w:val="22"/>
          <w:szCs w:val="22"/>
        </w:rPr>
      </w:pPr>
      <w:r w:rsidRPr="00263CDF">
        <w:rPr>
          <w:rFonts w:ascii="Verdana" w:hAnsi="Verdana"/>
          <w:sz w:val="22"/>
          <w:szCs w:val="22"/>
        </w:rPr>
        <w:t xml:space="preserve">Respecto de las </w:t>
      </w:r>
      <w:r>
        <w:rPr>
          <w:rFonts w:ascii="Verdana" w:hAnsi="Verdana"/>
          <w:sz w:val="22"/>
          <w:szCs w:val="22"/>
        </w:rPr>
        <w:t xml:space="preserve">actuaciones declaradas esenciales, se mantiene </w:t>
      </w:r>
      <w:r w:rsidRPr="00263CDF">
        <w:rPr>
          <w:rFonts w:ascii="Verdana" w:hAnsi="Verdana"/>
          <w:sz w:val="22"/>
          <w:szCs w:val="22"/>
        </w:rPr>
        <w:t xml:space="preserve">la presentación telemática de escritos y documentos, su registro, reparto y despacho de manera ordinaria, sin </w:t>
      </w:r>
      <w:r>
        <w:rPr>
          <w:rFonts w:ascii="Verdana" w:hAnsi="Verdana"/>
          <w:sz w:val="22"/>
          <w:szCs w:val="22"/>
        </w:rPr>
        <w:t>que estos trámites se vean</w:t>
      </w:r>
      <w:r w:rsidRPr="00263CDF">
        <w:rPr>
          <w:rFonts w:ascii="Verdana" w:hAnsi="Verdana"/>
          <w:sz w:val="22"/>
          <w:szCs w:val="22"/>
        </w:rPr>
        <w:t xml:space="preserve"> afectados por la suspensión e interrupción de términos y plazos procesales.</w:t>
      </w:r>
    </w:p>
    <w:sectPr w:rsidR="00263C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15B4" w:rsidRDefault="00C115B4">
      <w:r>
        <w:separator/>
      </w:r>
    </w:p>
  </w:endnote>
  <w:endnote w:type="continuationSeparator" w:id="0">
    <w:p w:rsidR="00C115B4" w:rsidRDefault="00C11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7B42" w:rsidRDefault="00857B4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1056" w:rsidRDefault="00C3101F" w:rsidP="00761056">
    <w:pPr>
      <w:pStyle w:val="Piedepgina"/>
      <w:ind w:firstLine="708"/>
      <w:rPr>
        <w:rFonts w:ascii="Verdana" w:hAnsi="Verdana"/>
        <w:sz w:val="20"/>
        <w:szCs w:val="20"/>
      </w:rPr>
    </w:pPr>
    <w:r>
      <w:rPr>
        <w:rFonts w:ascii="Verdana" w:hAnsi="Verdana"/>
        <w:noProof/>
        <w:color w:val="C00000"/>
        <w:sz w:val="20"/>
        <w:szCs w:val="20"/>
      </w:rPr>
      <w:drawing>
        <wp:anchor distT="0" distB="0" distL="114300" distR="114300" simplePos="0" relativeHeight="251660288" behindDoc="1" locked="0" layoutInCell="1" allowOverlap="1" wp14:anchorId="4BA4ADDC" wp14:editId="07AEAB5D">
          <wp:simplePos x="0" y="0"/>
          <wp:positionH relativeFrom="column">
            <wp:posOffset>34290</wp:posOffset>
          </wp:positionH>
          <wp:positionV relativeFrom="paragraph">
            <wp:posOffset>130175</wp:posOffset>
          </wp:positionV>
          <wp:extent cx="285750" cy="207645"/>
          <wp:effectExtent l="0" t="0" r="0" b="1905"/>
          <wp:wrapTight wrapText="bothSides">
            <wp:wrapPolygon edited="0">
              <wp:start x="0" y="0"/>
              <wp:lineTo x="0" y="19817"/>
              <wp:lineTo x="20160" y="19817"/>
              <wp:lineTo x="20160" y="0"/>
              <wp:lineTo x="0" y="0"/>
            </wp:wrapPolygon>
          </wp:wrapTight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" cy="207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4174D" w:rsidRPr="0064174D">
      <w:rPr>
        <w:rFonts w:ascii="Verdana" w:hAnsi="Verdana"/>
        <w:noProof/>
        <w:color w:val="C00000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F0CB7A" wp14:editId="7ABAE61A">
              <wp:simplePos x="0" y="0"/>
              <wp:positionH relativeFrom="column">
                <wp:posOffset>-3810</wp:posOffset>
              </wp:positionH>
              <wp:positionV relativeFrom="paragraph">
                <wp:posOffset>58420</wp:posOffset>
              </wp:positionV>
              <wp:extent cx="5407200" cy="0"/>
              <wp:effectExtent l="0" t="0" r="22225" b="19050"/>
              <wp:wrapNone/>
              <wp:docPr id="3" name="3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0720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C0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2F90D7" id="3 Conector recto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pt,4.6pt" to="425.4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" strokecolor="#c00000" strokeweight=".5pt"/>
          </w:pict>
        </mc:Fallback>
      </mc:AlternateContent>
    </w:r>
  </w:p>
  <w:p w:rsidR="00761056" w:rsidRPr="00761056" w:rsidRDefault="00761056" w:rsidP="00761056">
    <w:pPr>
      <w:pStyle w:val="Piedepgina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 xml:space="preserve">       </w:t>
    </w:r>
    <w:r w:rsidRPr="00761056">
      <w:rPr>
        <w:rFonts w:ascii="Verdana" w:hAnsi="Verdana"/>
        <w:sz w:val="20"/>
        <w:szCs w:val="20"/>
      </w:rPr>
      <w:t>@PoderJudicialE</w:t>
    </w:r>
    <w:r w:rsidR="00857B42">
      <w:rPr>
        <w:rFonts w:ascii="Verdana" w:hAnsi="Verdana"/>
        <w:sz w:val="20"/>
        <w:szCs w:val="20"/>
      </w:rPr>
      <w:t>s</w:t>
    </w:r>
    <w:r>
      <w:rPr>
        <w:rFonts w:ascii="Verdana" w:hAnsi="Verdana"/>
        <w:sz w:val="20"/>
        <w:szCs w:val="20"/>
      </w:rPr>
      <w:tab/>
    </w:r>
    <w:r>
      <w:rPr>
        <w:rFonts w:ascii="Verdana" w:hAnsi="Verdana"/>
        <w:sz w:val="20"/>
        <w:szCs w:val="20"/>
      </w:rPr>
      <w:tab/>
    </w:r>
    <w:hyperlink r:id="rId2" w:history="1">
      <w:r w:rsidRPr="00EC73BD">
        <w:rPr>
          <w:rStyle w:val="Hipervnculo"/>
          <w:rFonts w:ascii="Verdana" w:hAnsi="Verdana"/>
          <w:sz w:val="20"/>
          <w:szCs w:val="20"/>
        </w:rPr>
        <w:t>www.poderjudicial.es</w:t>
      </w:r>
    </w:hyperlink>
    <w:r>
      <w:rPr>
        <w:rFonts w:ascii="Verdana" w:hAnsi="Verdana"/>
        <w:sz w:val="20"/>
        <w:szCs w:val="20"/>
      </w:rPr>
      <w:t xml:space="preserve"> </w:t>
    </w:r>
  </w:p>
  <w:p w:rsidR="00761056" w:rsidRDefault="0076105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7B42" w:rsidRDefault="00857B4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15B4" w:rsidRDefault="00C115B4">
      <w:r>
        <w:separator/>
      </w:r>
    </w:p>
  </w:footnote>
  <w:footnote w:type="continuationSeparator" w:id="0">
    <w:p w:rsidR="00C115B4" w:rsidRDefault="00C115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7B42" w:rsidRDefault="00857B4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470" w:rsidRDefault="00E24154">
    <w:pPr>
      <w:pStyle w:val="Encabezado"/>
    </w:pPr>
    <w:r>
      <w:rPr>
        <w:noProof/>
      </w:rPr>
      <w:drawing>
        <wp:inline distT="0" distB="0" distL="0" distR="0" wp14:anchorId="3A5F6BEE" wp14:editId="79BC6612">
          <wp:extent cx="691610" cy="1035313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4226" cy="10392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15470" w:rsidRDefault="0031547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7B42" w:rsidRDefault="00857B4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AB2D6F"/>
    <w:multiLevelType w:val="hybridMultilevel"/>
    <w:tmpl w:val="A9C46496"/>
    <w:lvl w:ilvl="0" w:tplc="D4B838D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746813"/>
    <w:multiLevelType w:val="hybridMultilevel"/>
    <w:tmpl w:val="12E07F7C"/>
    <w:lvl w:ilvl="0" w:tplc="8130962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4E2FC2"/>
    <w:multiLevelType w:val="hybridMultilevel"/>
    <w:tmpl w:val="A7DC46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BC7786"/>
    <w:multiLevelType w:val="hybridMultilevel"/>
    <w:tmpl w:val="02DCE946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536434"/>
    <w:multiLevelType w:val="hybridMultilevel"/>
    <w:tmpl w:val="AA3E78A4"/>
    <w:lvl w:ilvl="0" w:tplc="4D226B74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D52"/>
    <w:rsid w:val="00010C2A"/>
    <w:rsid w:val="00015AF9"/>
    <w:rsid w:val="00016265"/>
    <w:rsid w:val="00022CF2"/>
    <w:rsid w:val="00032FF2"/>
    <w:rsid w:val="00033F0A"/>
    <w:rsid w:val="0003507D"/>
    <w:rsid w:val="00036318"/>
    <w:rsid w:val="00046CE3"/>
    <w:rsid w:val="00051E1C"/>
    <w:rsid w:val="00051FBA"/>
    <w:rsid w:val="00063933"/>
    <w:rsid w:val="00064452"/>
    <w:rsid w:val="00071BDE"/>
    <w:rsid w:val="00076F8B"/>
    <w:rsid w:val="00085DC5"/>
    <w:rsid w:val="00090115"/>
    <w:rsid w:val="000919EC"/>
    <w:rsid w:val="000A0EEB"/>
    <w:rsid w:val="000A32AF"/>
    <w:rsid w:val="000A4F02"/>
    <w:rsid w:val="000D5AD8"/>
    <w:rsid w:val="001015BB"/>
    <w:rsid w:val="0010334D"/>
    <w:rsid w:val="00104A8B"/>
    <w:rsid w:val="00106737"/>
    <w:rsid w:val="00106D52"/>
    <w:rsid w:val="0010700F"/>
    <w:rsid w:val="00126082"/>
    <w:rsid w:val="00136FBE"/>
    <w:rsid w:val="0013733B"/>
    <w:rsid w:val="0014513E"/>
    <w:rsid w:val="00156167"/>
    <w:rsid w:val="00162549"/>
    <w:rsid w:val="00163BFD"/>
    <w:rsid w:val="00171DBF"/>
    <w:rsid w:val="001A7292"/>
    <w:rsid w:val="001C18E9"/>
    <w:rsid w:val="001C67A6"/>
    <w:rsid w:val="001D5AE3"/>
    <w:rsid w:val="001F6F10"/>
    <w:rsid w:val="00213F4B"/>
    <w:rsid w:val="0022361A"/>
    <w:rsid w:val="002308C3"/>
    <w:rsid w:val="002327EC"/>
    <w:rsid w:val="002408A5"/>
    <w:rsid w:val="00263CDF"/>
    <w:rsid w:val="002A5D30"/>
    <w:rsid w:val="002C056F"/>
    <w:rsid w:val="002D77D0"/>
    <w:rsid w:val="002E4FA9"/>
    <w:rsid w:val="002F1404"/>
    <w:rsid w:val="002F1E56"/>
    <w:rsid w:val="00301823"/>
    <w:rsid w:val="00302FDB"/>
    <w:rsid w:val="0030598D"/>
    <w:rsid w:val="003079F5"/>
    <w:rsid w:val="00313314"/>
    <w:rsid w:val="00314728"/>
    <w:rsid w:val="00315335"/>
    <w:rsid w:val="00315470"/>
    <w:rsid w:val="003206E7"/>
    <w:rsid w:val="00324E38"/>
    <w:rsid w:val="00331815"/>
    <w:rsid w:val="0033434F"/>
    <w:rsid w:val="00340DA9"/>
    <w:rsid w:val="00346B6C"/>
    <w:rsid w:val="00361CA4"/>
    <w:rsid w:val="003713EE"/>
    <w:rsid w:val="003800F4"/>
    <w:rsid w:val="003874BD"/>
    <w:rsid w:val="00393527"/>
    <w:rsid w:val="00393A4F"/>
    <w:rsid w:val="00396A7E"/>
    <w:rsid w:val="00397E57"/>
    <w:rsid w:val="003A070C"/>
    <w:rsid w:val="003A36FB"/>
    <w:rsid w:val="003A5909"/>
    <w:rsid w:val="003C091C"/>
    <w:rsid w:val="003D101B"/>
    <w:rsid w:val="003D2555"/>
    <w:rsid w:val="003D7384"/>
    <w:rsid w:val="003D79A0"/>
    <w:rsid w:val="003E470E"/>
    <w:rsid w:val="003F2B54"/>
    <w:rsid w:val="003F7C9E"/>
    <w:rsid w:val="00415BC1"/>
    <w:rsid w:val="00417AFB"/>
    <w:rsid w:val="0042180E"/>
    <w:rsid w:val="00423858"/>
    <w:rsid w:val="00424C43"/>
    <w:rsid w:val="004251B2"/>
    <w:rsid w:val="00430248"/>
    <w:rsid w:val="00432AEC"/>
    <w:rsid w:val="00441A4E"/>
    <w:rsid w:val="00445CDD"/>
    <w:rsid w:val="00464F54"/>
    <w:rsid w:val="00483116"/>
    <w:rsid w:val="00491E79"/>
    <w:rsid w:val="00494CB8"/>
    <w:rsid w:val="004A3D73"/>
    <w:rsid w:val="004B53EF"/>
    <w:rsid w:val="004D646F"/>
    <w:rsid w:val="004E5BFE"/>
    <w:rsid w:val="004F14CA"/>
    <w:rsid w:val="004F1CC8"/>
    <w:rsid w:val="005052FB"/>
    <w:rsid w:val="00506ABA"/>
    <w:rsid w:val="005128AD"/>
    <w:rsid w:val="00534123"/>
    <w:rsid w:val="00537978"/>
    <w:rsid w:val="0054006E"/>
    <w:rsid w:val="00540564"/>
    <w:rsid w:val="0055710E"/>
    <w:rsid w:val="00562494"/>
    <w:rsid w:val="0058743A"/>
    <w:rsid w:val="005C52F8"/>
    <w:rsid w:val="005D3014"/>
    <w:rsid w:val="005D481D"/>
    <w:rsid w:val="005D53D8"/>
    <w:rsid w:val="005E1CCD"/>
    <w:rsid w:val="005F2B7B"/>
    <w:rsid w:val="005F3122"/>
    <w:rsid w:val="0060437E"/>
    <w:rsid w:val="00630FC3"/>
    <w:rsid w:val="00631016"/>
    <w:rsid w:val="00637EF5"/>
    <w:rsid w:val="006410C6"/>
    <w:rsid w:val="0064174D"/>
    <w:rsid w:val="006421E9"/>
    <w:rsid w:val="00643DB8"/>
    <w:rsid w:val="00644957"/>
    <w:rsid w:val="006451A1"/>
    <w:rsid w:val="00646D75"/>
    <w:rsid w:val="0065235C"/>
    <w:rsid w:val="006544FD"/>
    <w:rsid w:val="00665E4A"/>
    <w:rsid w:val="00672C43"/>
    <w:rsid w:val="006B06A8"/>
    <w:rsid w:val="006B4CAF"/>
    <w:rsid w:val="006C00F5"/>
    <w:rsid w:val="006C17FA"/>
    <w:rsid w:val="006C60F0"/>
    <w:rsid w:val="00711656"/>
    <w:rsid w:val="00715028"/>
    <w:rsid w:val="0072433B"/>
    <w:rsid w:val="00736261"/>
    <w:rsid w:val="00743B16"/>
    <w:rsid w:val="007518F6"/>
    <w:rsid w:val="00761056"/>
    <w:rsid w:val="00791550"/>
    <w:rsid w:val="007A028A"/>
    <w:rsid w:val="007B4FA7"/>
    <w:rsid w:val="007B6BF5"/>
    <w:rsid w:val="0080017D"/>
    <w:rsid w:val="00801AB7"/>
    <w:rsid w:val="0082559A"/>
    <w:rsid w:val="00827CBF"/>
    <w:rsid w:val="008344F9"/>
    <w:rsid w:val="00842B4E"/>
    <w:rsid w:val="00850FE1"/>
    <w:rsid w:val="008556C2"/>
    <w:rsid w:val="00857B42"/>
    <w:rsid w:val="00870C45"/>
    <w:rsid w:val="00881BEB"/>
    <w:rsid w:val="00894FAB"/>
    <w:rsid w:val="008A1414"/>
    <w:rsid w:val="008B18B6"/>
    <w:rsid w:val="008C6BBC"/>
    <w:rsid w:val="008D1265"/>
    <w:rsid w:val="008D40EE"/>
    <w:rsid w:val="00900C88"/>
    <w:rsid w:val="0090452B"/>
    <w:rsid w:val="00905313"/>
    <w:rsid w:val="0091183E"/>
    <w:rsid w:val="00912551"/>
    <w:rsid w:val="00914A2E"/>
    <w:rsid w:val="00940DB4"/>
    <w:rsid w:val="00942161"/>
    <w:rsid w:val="00945BB0"/>
    <w:rsid w:val="00950803"/>
    <w:rsid w:val="00952050"/>
    <w:rsid w:val="00966B79"/>
    <w:rsid w:val="00985EC2"/>
    <w:rsid w:val="009901B3"/>
    <w:rsid w:val="00995DE0"/>
    <w:rsid w:val="009A1CE4"/>
    <w:rsid w:val="009A6D12"/>
    <w:rsid w:val="009A7C7B"/>
    <w:rsid w:val="009B3D1F"/>
    <w:rsid w:val="009B3ED1"/>
    <w:rsid w:val="009E2F15"/>
    <w:rsid w:val="009E3FD2"/>
    <w:rsid w:val="009E735D"/>
    <w:rsid w:val="009F18B8"/>
    <w:rsid w:val="009F1A06"/>
    <w:rsid w:val="009F450F"/>
    <w:rsid w:val="009F4E7F"/>
    <w:rsid w:val="00A20D83"/>
    <w:rsid w:val="00A276BE"/>
    <w:rsid w:val="00A33E9E"/>
    <w:rsid w:val="00A37687"/>
    <w:rsid w:val="00A568C4"/>
    <w:rsid w:val="00A6146F"/>
    <w:rsid w:val="00A62B2D"/>
    <w:rsid w:val="00A73D3E"/>
    <w:rsid w:val="00A80E14"/>
    <w:rsid w:val="00AB629D"/>
    <w:rsid w:val="00AD1F86"/>
    <w:rsid w:val="00AD4CB5"/>
    <w:rsid w:val="00AE1CE2"/>
    <w:rsid w:val="00AE5FBE"/>
    <w:rsid w:val="00AF2D66"/>
    <w:rsid w:val="00B00E34"/>
    <w:rsid w:val="00B04673"/>
    <w:rsid w:val="00B05A89"/>
    <w:rsid w:val="00B30105"/>
    <w:rsid w:val="00B367CC"/>
    <w:rsid w:val="00B4046E"/>
    <w:rsid w:val="00B408A8"/>
    <w:rsid w:val="00B54748"/>
    <w:rsid w:val="00B54EA2"/>
    <w:rsid w:val="00B642BB"/>
    <w:rsid w:val="00B95DA0"/>
    <w:rsid w:val="00B96B80"/>
    <w:rsid w:val="00BB25DB"/>
    <w:rsid w:val="00BB353D"/>
    <w:rsid w:val="00BB4422"/>
    <w:rsid w:val="00BD7006"/>
    <w:rsid w:val="00C115B4"/>
    <w:rsid w:val="00C13BB4"/>
    <w:rsid w:val="00C20CC2"/>
    <w:rsid w:val="00C3056A"/>
    <w:rsid w:val="00C3101F"/>
    <w:rsid w:val="00C5648C"/>
    <w:rsid w:val="00C6112C"/>
    <w:rsid w:val="00C61D34"/>
    <w:rsid w:val="00C6342A"/>
    <w:rsid w:val="00C71284"/>
    <w:rsid w:val="00C741D9"/>
    <w:rsid w:val="00C83433"/>
    <w:rsid w:val="00CA7961"/>
    <w:rsid w:val="00CB521A"/>
    <w:rsid w:val="00CB568C"/>
    <w:rsid w:val="00CB67C9"/>
    <w:rsid w:val="00CC0587"/>
    <w:rsid w:val="00CD2087"/>
    <w:rsid w:val="00CD568F"/>
    <w:rsid w:val="00CD61C7"/>
    <w:rsid w:val="00CD6292"/>
    <w:rsid w:val="00CF06EB"/>
    <w:rsid w:val="00CF4BD2"/>
    <w:rsid w:val="00D01A09"/>
    <w:rsid w:val="00D04C8F"/>
    <w:rsid w:val="00D073A9"/>
    <w:rsid w:val="00D1149E"/>
    <w:rsid w:val="00D133D9"/>
    <w:rsid w:val="00D179DB"/>
    <w:rsid w:val="00D311EE"/>
    <w:rsid w:val="00D521F1"/>
    <w:rsid w:val="00D60894"/>
    <w:rsid w:val="00D60B58"/>
    <w:rsid w:val="00D76242"/>
    <w:rsid w:val="00D84AEC"/>
    <w:rsid w:val="00D90B9C"/>
    <w:rsid w:val="00D963FF"/>
    <w:rsid w:val="00D964BB"/>
    <w:rsid w:val="00DA057B"/>
    <w:rsid w:val="00DA4EA3"/>
    <w:rsid w:val="00DB04AB"/>
    <w:rsid w:val="00DB1E5F"/>
    <w:rsid w:val="00DB2C75"/>
    <w:rsid w:val="00DB3654"/>
    <w:rsid w:val="00DD2891"/>
    <w:rsid w:val="00DD5C2B"/>
    <w:rsid w:val="00DE3AF9"/>
    <w:rsid w:val="00DF4A72"/>
    <w:rsid w:val="00E07033"/>
    <w:rsid w:val="00E1215C"/>
    <w:rsid w:val="00E20FA9"/>
    <w:rsid w:val="00E21542"/>
    <w:rsid w:val="00E24154"/>
    <w:rsid w:val="00E247A1"/>
    <w:rsid w:val="00E44205"/>
    <w:rsid w:val="00E4695A"/>
    <w:rsid w:val="00E5296D"/>
    <w:rsid w:val="00E656C7"/>
    <w:rsid w:val="00E66232"/>
    <w:rsid w:val="00E9358A"/>
    <w:rsid w:val="00E960AF"/>
    <w:rsid w:val="00EA0EF4"/>
    <w:rsid w:val="00EA1059"/>
    <w:rsid w:val="00EB56D0"/>
    <w:rsid w:val="00ED0BA6"/>
    <w:rsid w:val="00ED7260"/>
    <w:rsid w:val="00EE68BF"/>
    <w:rsid w:val="00EF1025"/>
    <w:rsid w:val="00EF3E80"/>
    <w:rsid w:val="00EF7E49"/>
    <w:rsid w:val="00F04D3E"/>
    <w:rsid w:val="00F133CF"/>
    <w:rsid w:val="00F25587"/>
    <w:rsid w:val="00F35A2D"/>
    <w:rsid w:val="00F404C6"/>
    <w:rsid w:val="00F41DBA"/>
    <w:rsid w:val="00F42B45"/>
    <w:rsid w:val="00F42C68"/>
    <w:rsid w:val="00F42D60"/>
    <w:rsid w:val="00F43F5E"/>
    <w:rsid w:val="00F51667"/>
    <w:rsid w:val="00F545C7"/>
    <w:rsid w:val="00F60DD7"/>
    <w:rsid w:val="00F61CEB"/>
    <w:rsid w:val="00FA2DBF"/>
    <w:rsid w:val="00FA3A80"/>
    <w:rsid w:val="00FC3156"/>
    <w:rsid w:val="00FD4201"/>
    <w:rsid w:val="00FE1AD6"/>
    <w:rsid w:val="00FE47B6"/>
    <w:rsid w:val="00FE5F8E"/>
    <w:rsid w:val="00FE7A22"/>
    <w:rsid w:val="00FF3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E971DB"/>
  <w15:docId w15:val="{53237229-5FCE-442D-AAE4-6A7CE6A0F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3206E7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FE5F8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FE5F8E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E5F8E"/>
    <w:pPr>
      <w:ind w:left="720"/>
      <w:contextualSpacing/>
    </w:pPr>
  </w:style>
  <w:style w:type="table" w:styleId="Tablaconcuadrcula">
    <w:name w:val="Table Grid"/>
    <w:basedOn w:val="Tablanormal"/>
    <w:rsid w:val="003D10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">
    <w:name w:val="Pie de página Car"/>
    <w:basedOn w:val="Fuentedeprrafopredeter"/>
    <w:link w:val="Piedepgina"/>
    <w:uiPriority w:val="99"/>
    <w:rsid w:val="00761056"/>
    <w:rPr>
      <w:sz w:val="24"/>
      <w:szCs w:val="24"/>
    </w:rPr>
  </w:style>
  <w:style w:type="character" w:styleId="Hipervnculo">
    <w:name w:val="Hyperlink"/>
    <w:basedOn w:val="Fuentedeprrafopredeter"/>
    <w:rsid w:val="00761056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B4C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10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oderjudicial.es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550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El CGPJ informa</vt:lpstr>
    </vt:vector>
  </TitlesOfParts>
  <Company>CENDOJ</Company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 CGPJ informa</dc:title>
  <dc:creator>azurita</dc:creator>
  <cp:lastModifiedBy>José Asenjo Vallejo</cp:lastModifiedBy>
  <cp:revision>5</cp:revision>
  <cp:lastPrinted>2020-04-13T09:24:00Z</cp:lastPrinted>
  <dcterms:created xsi:type="dcterms:W3CDTF">2020-04-13T09:23:00Z</dcterms:created>
  <dcterms:modified xsi:type="dcterms:W3CDTF">2020-04-13T12:20:00Z</dcterms:modified>
</cp:coreProperties>
</file>