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D3D51" w14:textId="233365B1" w:rsidR="00ED43C2" w:rsidRPr="0053599A" w:rsidRDefault="00047A1C" w:rsidP="00ED43C2">
      <w:pPr>
        <w:rPr>
          <w:b/>
          <w:sz w:val="32"/>
          <w:szCs w:val="32"/>
        </w:rPr>
      </w:pPr>
      <w:r>
        <w:rPr>
          <w:b/>
          <w:sz w:val="32"/>
          <w:szCs w:val="32"/>
        </w:rPr>
        <w:t>CAMBIO DE</w:t>
      </w:r>
      <w:r w:rsidR="00B0270C">
        <w:rPr>
          <w:b/>
          <w:sz w:val="32"/>
          <w:szCs w:val="32"/>
        </w:rPr>
        <w:t xml:space="preserve">L BOLETIN </w:t>
      </w:r>
      <w:r w:rsidR="00BA5614">
        <w:rPr>
          <w:b/>
          <w:sz w:val="32"/>
          <w:szCs w:val="32"/>
        </w:rPr>
        <w:t>a implementar en 2021</w:t>
      </w:r>
      <w:r w:rsidR="00B0270C">
        <w:rPr>
          <w:b/>
          <w:sz w:val="32"/>
          <w:szCs w:val="32"/>
        </w:rPr>
        <w:t xml:space="preserve"> aprobado por el Pleno de la Comisión Nacional de Estadística Judicial</w:t>
      </w:r>
    </w:p>
    <w:p w14:paraId="71761A6C" w14:textId="77777777" w:rsidR="00ED43C2" w:rsidRPr="0053599A" w:rsidRDefault="00ED43C2" w:rsidP="00ED43C2">
      <w:pPr>
        <w:spacing w:after="0"/>
        <w:rPr>
          <w:b/>
          <w:sz w:val="32"/>
          <w:szCs w:val="32"/>
        </w:rPr>
      </w:pPr>
    </w:p>
    <w:p w14:paraId="25CD5706" w14:textId="079CCFA5" w:rsidR="00ED43C2" w:rsidRDefault="00ED43C2" w:rsidP="00ED43C2">
      <w:pPr>
        <w:spacing w:after="0"/>
        <w:rPr>
          <w:b/>
          <w:sz w:val="28"/>
          <w:szCs w:val="28"/>
        </w:rPr>
      </w:pPr>
      <w:bookmarkStart w:id="0" w:name="_Hlk52970646"/>
      <w:r w:rsidRPr="0053599A">
        <w:rPr>
          <w:b/>
          <w:sz w:val="28"/>
          <w:szCs w:val="28"/>
          <w:u w:val="single"/>
        </w:rPr>
        <w:t>BOLETÍN</w:t>
      </w:r>
      <w:r>
        <w:rPr>
          <w:b/>
          <w:sz w:val="28"/>
          <w:szCs w:val="28"/>
          <w:u w:val="single"/>
        </w:rPr>
        <w:t>ES</w:t>
      </w:r>
      <w:r w:rsidRPr="0053599A">
        <w:rPr>
          <w:b/>
          <w:sz w:val="28"/>
          <w:szCs w:val="28"/>
          <w:u w:val="single"/>
        </w:rPr>
        <w:t xml:space="preserve"> 04</w:t>
      </w:r>
      <w:r>
        <w:rPr>
          <w:b/>
          <w:sz w:val="28"/>
          <w:szCs w:val="28"/>
          <w:u w:val="single"/>
        </w:rPr>
        <w:t xml:space="preserve"> (</w:t>
      </w:r>
      <w:r w:rsidRPr="0053599A">
        <w:rPr>
          <w:b/>
          <w:sz w:val="28"/>
          <w:szCs w:val="28"/>
          <w:u w:val="single"/>
        </w:rPr>
        <w:t>JUZGADOS DE PRIMERA INSTANCIA E INSTRUCCIÓN</w:t>
      </w:r>
      <w:r w:rsidR="00884A55">
        <w:rPr>
          <w:b/>
          <w:sz w:val="28"/>
          <w:szCs w:val="28"/>
          <w:u w:val="single"/>
        </w:rPr>
        <w:t>)</w:t>
      </w:r>
    </w:p>
    <w:bookmarkEnd w:id="0"/>
    <w:p w14:paraId="37FEF3A4" w14:textId="77777777" w:rsidR="000739D3" w:rsidRDefault="000739D3" w:rsidP="00ED43C2">
      <w:pPr>
        <w:spacing w:after="0"/>
        <w:rPr>
          <w:b/>
          <w:sz w:val="28"/>
          <w:szCs w:val="28"/>
        </w:rPr>
      </w:pPr>
    </w:p>
    <w:p w14:paraId="7CB36FF0" w14:textId="6C0FA4F5" w:rsidR="00ED43C2" w:rsidRDefault="00F64480" w:rsidP="00ED43C2">
      <w:pPr>
        <w:rPr>
          <w:b/>
          <w:sz w:val="28"/>
          <w:szCs w:val="28"/>
          <w:u w:val="single"/>
        </w:rPr>
      </w:pPr>
      <w:r>
        <w:rPr>
          <w:b/>
          <w:sz w:val="28"/>
          <w:szCs w:val="28"/>
          <w:u w:val="single"/>
        </w:rPr>
        <w:t>Se añade</w:t>
      </w:r>
    </w:p>
    <w:p w14:paraId="4869F481" w14:textId="44E84AE7" w:rsidR="00E10D66" w:rsidRPr="005F78B0" w:rsidRDefault="00E10D66" w:rsidP="00ED43C2">
      <w:pPr>
        <w:rPr>
          <w:b/>
          <w:sz w:val="28"/>
          <w:szCs w:val="28"/>
          <w:u w:val="single"/>
        </w:rPr>
      </w:pPr>
      <w:r w:rsidRPr="00D23E81">
        <w:rPr>
          <w:rFonts w:ascii="Verdana" w:eastAsia="Times New Roman" w:hAnsi="Verdana" w:cs="Times New Roman"/>
          <w:b/>
          <w:szCs w:val="18"/>
          <w:lang w:val="es-ES_tradnl" w:eastAsia="es-ES"/>
        </w:rPr>
        <w:t>MOVIMIENTO DE ASUNTOS CIVILES</w:t>
      </w:r>
      <w:r>
        <w:rPr>
          <w:rFonts w:ascii="Verdana" w:eastAsia="Times New Roman" w:hAnsi="Verdana" w:cs="Times New Roman"/>
          <w:b/>
          <w:szCs w:val="18"/>
          <w:lang w:val="es-ES_tradnl" w:eastAsia="es-ES"/>
        </w:rPr>
        <w:t>:</w:t>
      </w:r>
    </w:p>
    <w:p w14:paraId="667E2D92" w14:textId="77777777" w:rsidR="00FE28C8" w:rsidRPr="005F78B0" w:rsidRDefault="00FE28C8" w:rsidP="00FE28C8">
      <w:pPr>
        <w:tabs>
          <w:tab w:val="left" w:pos="567"/>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 w:val="left" w:pos="10250"/>
        </w:tabs>
        <w:jc w:val="both"/>
        <w:rPr>
          <w:rFonts w:ascii="Verdana" w:hAnsi="Verdana"/>
          <w:b/>
          <w:color w:val="FF0000"/>
          <w:sz w:val="18"/>
          <w:szCs w:val="18"/>
          <w:lang w:val="es-ES_tradnl"/>
        </w:rPr>
      </w:pPr>
      <w:r w:rsidRPr="005F78B0">
        <w:rPr>
          <w:rFonts w:ascii="Verdana" w:hAnsi="Verdana"/>
          <w:b/>
          <w:color w:val="FF0000"/>
          <w:sz w:val="18"/>
          <w:szCs w:val="18"/>
          <w:lang w:val="es-ES_tradnl"/>
        </w:rPr>
        <w:t>COMUNICACIÓN DE APERTURA DE NEGOCIACIONES CON LOS ACREEDORES:</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tblBorders>
        <w:tblCellMar>
          <w:top w:w="28" w:type="dxa"/>
          <w:left w:w="28" w:type="dxa"/>
          <w:bottom w:w="28" w:type="dxa"/>
          <w:right w:w="28" w:type="dxa"/>
        </w:tblCellMar>
        <w:tblLook w:val="0000" w:firstRow="0" w:lastRow="0" w:firstColumn="0" w:lastColumn="0" w:noHBand="0" w:noVBand="0"/>
      </w:tblPr>
      <w:tblGrid>
        <w:gridCol w:w="7015"/>
        <w:gridCol w:w="1459"/>
      </w:tblGrid>
      <w:tr w:rsidR="00FE28C8" w:rsidRPr="005F78B0" w14:paraId="572D314C" w14:textId="77777777" w:rsidTr="000C6579">
        <w:trPr>
          <w:trHeight w:val="20"/>
          <w:jc w:val="center"/>
        </w:trPr>
        <w:tc>
          <w:tcPr>
            <w:tcW w:w="5000" w:type="pct"/>
            <w:gridSpan w:val="2"/>
            <w:tcBorders>
              <w:top w:val="double" w:sz="4" w:space="0" w:color="auto"/>
              <w:bottom w:val="double" w:sz="4" w:space="0" w:color="auto"/>
            </w:tcBorders>
            <w:shd w:val="clear" w:color="auto" w:fill="BFBFBF"/>
          </w:tcPr>
          <w:p w14:paraId="11A73872" w14:textId="4942A244" w:rsidR="00FE28C8" w:rsidRPr="005F78B0" w:rsidRDefault="009512A2" w:rsidP="000C6579">
            <w:pPr>
              <w:tabs>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 w:val="left" w:pos="10250"/>
              </w:tabs>
              <w:rPr>
                <w:rFonts w:ascii="Verdana" w:hAnsi="Verdana"/>
                <w:b/>
                <w:color w:val="FF0000"/>
                <w:sz w:val="18"/>
                <w:szCs w:val="18"/>
              </w:rPr>
            </w:pPr>
            <w:r>
              <w:rPr>
                <w:rFonts w:ascii="Verdana" w:hAnsi="Verdana"/>
                <w:b/>
                <w:color w:val="FF0000"/>
                <w:sz w:val="18"/>
                <w:szCs w:val="18"/>
                <w:shd w:val="clear" w:color="auto" w:fill="BFBFBF"/>
              </w:rPr>
              <w:t xml:space="preserve">1.2.2.1 </w:t>
            </w:r>
            <w:r w:rsidR="00FE28C8" w:rsidRPr="005F78B0">
              <w:rPr>
                <w:rFonts w:ascii="Verdana" w:hAnsi="Verdana"/>
                <w:b/>
                <w:color w:val="FF0000"/>
                <w:sz w:val="18"/>
                <w:szCs w:val="18"/>
                <w:shd w:val="clear" w:color="auto" w:fill="BFBFBF"/>
              </w:rPr>
              <w:t>ACUERDOS EXTRAJUDICIALES DE PAGOS</w:t>
            </w:r>
          </w:p>
        </w:tc>
      </w:tr>
      <w:tr w:rsidR="00FE28C8" w:rsidRPr="005F78B0" w14:paraId="69F59C75" w14:textId="77777777" w:rsidTr="000C6579">
        <w:trPr>
          <w:trHeight w:val="20"/>
          <w:jc w:val="center"/>
        </w:trPr>
        <w:tc>
          <w:tcPr>
            <w:tcW w:w="4139" w:type="pct"/>
            <w:tcBorders>
              <w:top w:val="double" w:sz="4" w:space="0" w:color="auto"/>
              <w:right w:val="single" w:sz="4" w:space="0" w:color="auto"/>
            </w:tcBorders>
          </w:tcPr>
          <w:p w14:paraId="7BC9202D" w14:textId="77777777" w:rsidR="00FE28C8" w:rsidRPr="005F78B0" w:rsidRDefault="00FE28C8" w:rsidP="000C6579">
            <w:pPr>
              <w:tabs>
                <w:tab w:val="left" w:pos="170"/>
                <w:tab w:val="left" w:pos="567"/>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 w:val="left" w:pos="10250"/>
              </w:tabs>
              <w:jc w:val="both"/>
              <w:rPr>
                <w:rFonts w:ascii="Verdana" w:hAnsi="Verdana"/>
                <w:color w:val="FF0000"/>
                <w:sz w:val="18"/>
                <w:szCs w:val="18"/>
              </w:rPr>
            </w:pPr>
            <w:r w:rsidRPr="005F78B0">
              <w:rPr>
                <w:rFonts w:ascii="Verdana" w:hAnsi="Verdana"/>
                <w:color w:val="FF0000"/>
                <w:sz w:val="18"/>
                <w:szCs w:val="18"/>
              </w:rPr>
              <w:t>Comunicaciones de inicio de expediente recibidas en el trimestre</w:t>
            </w:r>
          </w:p>
        </w:tc>
        <w:tc>
          <w:tcPr>
            <w:tcW w:w="861" w:type="pct"/>
            <w:tcBorders>
              <w:top w:val="double" w:sz="4" w:space="0" w:color="auto"/>
              <w:left w:val="single" w:sz="4" w:space="0" w:color="auto"/>
            </w:tcBorders>
          </w:tcPr>
          <w:p w14:paraId="6DE449F1" w14:textId="77777777" w:rsidR="00FE28C8" w:rsidRPr="005F78B0" w:rsidRDefault="00FE28C8" w:rsidP="000C6579">
            <w:pPr>
              <w:tabs>
                <w:tab w:val="left" w:pos="170"/>
                <w:tab w:val="left" w:pos="567"/>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 w:val="left" w:pos="10250"/>
              </w:tabs>
              <w:jc w:val="both"/>
              <w:rPr>
                <w:rFonts w:ascii="Verdana" w:hAnsi="Verdana"/>
                <w:color w:val="FF0000"/>
                <w:sz w:val="18"/>
                <w:szCs w:val="18"/>
              </w:rPr>
            </w:pPr>
          </w:p>
        </w:tc>
      </w:tr>
      <w:tr w:rsidR="00FE28C8" w:rsidRPr="005F78B0" w14:paraId="596F4A3A" w14:textId="77777777" w:rsidTr="000C6579">
        <w:trPr>
          <w:trHeight w:val="20"/>
          <w:jc w:val="center"/>
        </w:trPr>
        <w:tc>
          <w:tcPr>
            <w:tcW w:w="4139" w:type="pct"/>
            <w:tcBorders>
              <w:right w:val="single" w:sz="4" w:space="0" w:color="auto"/>
            </w:tcBorders>
          </w:tcPr>
          <w:p w14:paraId="0E8022BA" w14:textId="77777777" w:rsidR="00FE28C8" w:rsidRPr="005F78B0" w:rsidRDefault="00FE28C8" w:rsidP="000C6579">
            <w:pPr>
              <w:tabs>
                <w:tab w:val="left" w:pos="170"/>
                <w:tab w:val="left" w:pos="567"/>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 w:val="left" w:pos="10250"/>
              </w:tabs>
              <w:jc w:val="both"/>
              <w:rPr>
                <w:rFonts w:ascii="Verdana" w:hAnsi="Verdana"/>
                <w:color w:val="FF0000"/>
                <w:sz w:val="18"/>
                <w:szCs w:val="18"/>
                <w:lang w:val="es-ES_tradnl"/>
              </w:rPr>
            </w:pPr>
            <w:r w:rsidRPr="005F78B0">
              <w:rPr>
                <w:rFonts w:ascii="Verdana" w:hAnsi="Verdana"/>
                <w:color w:val="FF0000"/>
                <w:sz w:val="18"/>
                <w:szCs w:val="18"/>
                <w:lang w:val="es-ES_tradnl"/>
              </w:rPr>
              <w:t>Comunicaciones de cierre de expediente recibidas en el trimestre</w:t>
            </w:r>
          </w:p>
        </w:tc>
        <w:tc>
          <w:tcPr>
            <w:tcW w:w="861" w:type="pct"/>
            <w:tcBorders>
              <w:left w:val="single" w:sz="4" w:space="0" w:color="auto"/>
            </w:tcBorders>
          </w:tcPr>
          <w:p w14:paraId="64C0F476" w14:textId="77777777" w:rsidR="00FE28C8" w:rsidRPr="005F78B0" w:rsidRDefault="00FE28C8" w:rsidP="000C6579">
            <w:pPr>
              <w:tabs>
                <w:tab w:val="left" w:pos="170"/>
                <w:tab w:val="left" w:pos="567"/>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 w:val="left" w:pos="10250"/>
              </w:tabs>
              <w:jc w:val="both"/>
              <w:rPr>
                <w:rFonts w:ascii="Verdana" w:hAnsi="Verdana"/>
                <w:color w:val="FF0000"/>
                <w:sz w:val="18"/>
                <w:szCs w:val="18"/>
              </w:rPr>
            </w:pPr>
          </w:p>
        </w:tc>
      </w:tr>
      <w:tr w:rsidR="00FE28C8" w:rsidRPr="00E851D5" w14:paraId="58E8F306" w14:textId="77777777" w:rsidTr="000C6579">
        <w:trPr>
          <w:trHeight w:val="20"/>
          <w:jc w:val="center"/>
        </w:trPr>
        <w:tc>
          <w:tcPr>
            <w:tcW w:w="4139" w:type="pct"/>
            <w:tcBorders>
              <w:right w:val="single" w:sz="4" w:space="0" w:color="auto"/>
            </w:tcBorders>
          </w:tcPr>
          <w:p w14:paraId="1D7F7A79" w14:textId="77777777" w:rsidR="00FE28C8" w:rsidRPr="00E851D5" w:rsidRDefault="00FE28C8" w:rsidP="000C6579">
            <w:pPr>
              <w:tabs>
                <w:tab w:val="left" w:pos="170"/>
                <w:tab w:val="left" w:pos="567"/>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 w:val="left" w:pos="10250"/>
              </w:tabs>
              <w:jc w:val="both"/>
              <w:rPr>
                <w:rFonts w:ascii="Verdana" w:hAnsi="Verdana"/>
                <w:color w:val="FF0000"/>
                <w:sz w:val="18"/>
                <w:szCs w:val="18"/>
                <w:lang w:val="es-ES_tradnl"/>
              </w:rPr>
            </w:pPr>
            <w:r w:rsidRPr="005F78B0">
              <w:rPr>
                <w:rFonts w:ascii="Verdana" w:hAnsi="Verdana"/>
                <w:color w:val="FF0000"/>
                <w:sz w:val="18"/>
                <w:szCs w:val="18"/>
                <w:lang w:val="es-ES_tradnl"/>
              </w:rPr>
              <w:t>Concursos consecutivos presentados en el trimestre</w:t>
            </w:r>
          </w:p>
        </w:tc>
        <w:tc>
          <w:tcPr>
            <w:tcW w:w="861" w:type="pct"/>
            <w:tcBorders>
              <w:left w:val="single" w:sz="4" w:space="0" w:color="auto"/>
            </w:tcBorders>
          </w:tcPr>
          <w:p w14:paraId="3E8A40E9" w14:textId="77777777" w:rsidR="00FE28C8" w:rsidRPr="00E851D5" w:rsidRDefault="00FE28C8" w:rsidP="000C6579">
            <w:pPr>
              <w:tabs>
                <w:tab w:val="left" w:pos="170"/>
                <w:tab w:val="left" w:pos="567"/>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 w:val="left" w:pos="10250"/>
              </w:tabs>
              <w:jc w:val="both"/>
              <w:rPr>
                <w:rFonts w:ascii="Verdana" w:hAnsi="Verdana"/>
                <w:color w:val="FF0000"/>
                <w:sz w:val="18"/>
                <w:szCs w:val="18"/>
              </w:rPr>
            </w:pPr>
          </w:p>
        </w:tc>
      </w:tr>
    </w:tbl>
    <w:p w14:paraId="2C560F0E" w14:textId="77777777" w:rsidR="00F64480" w:rsidRDefault="00F64480" w:rsidP="00BA5614">
      <w:pPr>
        <w:jc w:val="center"/>
        <w:rPr>
          <w:b/>
          <w:bCs/>
          <w:sz w:val="24"/>
          <w:szCs w:val="24"/>
        </w:rPr>
      </w:pPr>
    </w:p>
    <w:p w14:paraId="5C7CD048" w14:textId="60E52656" w:rsidR="00BA5614" w:rsidRDefault="00BA5614" w:rsidP="00F64480">
      <w:pPr>
        <w:jc w:val="both"/>
        <w:rPr>
          <w:sz w:val="24"/>
          <w:szCs w:val="24"/>
        </w:rPr>
      </w:pPr>
      <w:r w:rsidRPr="002D1946">
        <w:rPr>
          <w:b/>
          <w:bCs/>
          <w:sz w:val="24"/>
          <w:szCs w:val="24"/>
        </w:rPr>
        <w:t>AL AMPARO DE LA Ley Orgánica 2/2020, de 16 de diciembre, de modificación del Código Penal para la erradicación de la esterilización forzada o no consentida de personas con discapacidad incapacitadas judicialmente</w:t>
      </w:r>
      <w:r w:rsidR="00F64480">
        <w:rPr>
          <w:b/>
          <w:bCs/>
          <w:sz w:val="24"/>
          <w:szCs w:val="24"/>
        </w:rPr>
        <w:t>, s</w:t>
      </w:r>
      <w:r w:rsidR="00F64480" w:rsidRPr="00F64480">
        <w:rPr>
          <w:b/>
          <w:bCs/>
          <w:sz w:val="24"/>
          <w:szCs w:val="24"/>
        </w:rPr>
        <w:t>e sustituye:</w:t>
      </w:r>
    </w:p>
    <w:p w14:paraId="3B4F454E" w14:textId="77777777" w:rsidR="00BA5614" w:rsidRDefault="00BA5614" w:rsidP="00BA5614">
      <w:pPr>
        <w:jc w:val="both"/>
        <w:rPr>
          <w:sz w:val="24"/>
          <w:szCs w:val="24"/>
        </w:rPr>
      </w:pPr>
    </w:p>
    <w:p w14:paraId="6B22916F" w14:textId="77777777" w:rsidR="00BA5614" w:rsidRPr="00D23E81" w:rsidRDefault="00BA5614" w:rsidP="00BA5614">
      <w:pPr>
        <w:spacing w:after="0" w:line="240" w:lineRule="auto"/>
        <w:contextualSpacing/>
        <w:rPr>
          <w:rFonts w:ascii="Verdana" w:eastAsia="Times New Roman" w:hAnsi="Verdana" w:cs="Times New Roman"/>
          <w:b/>
          <w:sz w:val="18"/>
          <w:szCs w:val="18"/>
          <w:lang w:val="es-ES_tradnl" w:eastAsia="es-ES"/>
        </w:rPr>
      </w:pPr>
      <w:r w:rsidRPr="00D23E81">
        <w:rPr>
          <w:rFonts w:ascii="Verdana" w:eastAsia="Times New Roman" w:hAnsi="Verdana" w:cs="Times New Roman"/>
          <w:b/>
          <w:sz w:val="18"/>
          <w:szCs w:val="18"/>
          <w:lang w:val="es-ES_tradnl" w:eastAsia="es-ES"/>
        </w:rPr>
        <w:t>1.6.  PROCESOS RELATIVOS A CAPACIDAD DE LAS PERSONAS</w:t>
      </w:r>
    </w:p>
    <w:p w14:paraId="28322FD5" w14:textId="77777777" w:rsidR="00BA5614" w:rsidRPr="00D23E81" w:rsidRDefault="00BA5614" w:rsidP="00BA5614">
      <w:pPr>
        <w:spacing w:after="0" w:line="240" w:lineRule="auto"/>
        <w:contextualSpacing/>
        <w:rPr>
          <w:rFonts w:ascii="Verdana" w:eastAsia="Times New Roman" w:hAnsi="Verdana" w:cs="Times New Roman"/>
          <w:b/>
          <w:sz w:val="18"/>
          <w:szCs w:val="18"/>
          <w:lang w:val="es-ES_tradnl" w:eastAsia="es-E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FBFBF"/>
        <w:tblCellMar>
          <w:top w:w="28" w:type="dxa"/>
          <w:left w:w="28" w:type="dxa"/>
          <w:bottom w:w="28" w:type="dxa"/>
          <w:right w:w="28" w:type="dxa"/>
        </w:tblCellMar>
        <w:tblLook w:val="04A0" w:firstRow="1" w:lastRow="0" w:firstColumn="1" w:lastColumn="0" w:noHBand="0" w:noVBand="1"/>
      </w:tblPr>
      <w:tblGrid>
        <w:gridCol w:w="3090"/>
        <w:gridCol w:w="1346"/>
        <w:gridCol w:w="1346"/>
        <w:gridCol w:w="1346"/>
        <w:gridCol w:w="1346"/>
      </w:tblGrid>
      <w:tr w:rsidR="00BA5614" w:rsidRPr="00D23E81" w14:paraId="7F33FB17" w14:textId="77777777" w:rsidTr="00753293">
        <w:trPr>
          <w:trHeight w:val="20"/>
          <w:jc w:val="center"/>
        </w:trPr>
        <w:tc>
          <w:tcPr>
            <w:tcW w:w="1824" w:type="pct"/>
            <w:tcBorders>
              <w:top w:val="double" w:sz="4" w:space="0" w:color="auto"/>
              <w:bottom w:val="double" w:sz="4" w:space="0" w:color="000000"/>
            </w:tcBorders>
            <w:shd w:val="clear" w:color="auto" w:fill="BFBFBF"/>
            <w:tcMar>
              <w:left w:w="28" w:type="dxa"/>
              <w:right w:w="28" w:type="dxa"/>
            </w:tcMar>
            <w:vAlign w:val="center"/>
          </w:tcPr>
          <w:p w14:paraId="2861D66C" w14:textId="77777777" w:rsidR="00BA5614" w:rsidRPr="00D23E81" w:rsidRDefault="00BA5614" w:rsidP="00753293">
            <w:pPr>
              <w:tabs>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468"/>
                <w:tab w:val="left" w:pos="10080"/>
              </w:tabs>
              <w:spacing w:after="0" w:line="240" w:lineRule="auto"/>
              <w:ind w:left="381" w:hanging="381"/>
              <w:contextualSpacing/>
              <w:rPr>
                <w:rFonts w:ascii="Verdana" w:eastAsia="Times New Roman" w:hAnsi="Verdana" w:cs="Times New Roman"/>
                <w:b/>
                <w:sz w:val="18"/>
                <w:szCs w:val="18"/>
                <w:lang w:val="es-ES_tradnl" w:eastAsia="es-ES"/>
              </w:rPr>
            </w:pPr>
            <w:r w:rsidRPr="00D23E81">
              <w:rPr>
                <w:rFonts w:ascii="Verdana" w:eastAsia="Times New Roman" w:hAnsi="Verdana" w:cs="Times New Roman"/>
                <w:b/>
                <w:sz w:val="18"/>
                <w:szCs w:val="18"/>
                <w:lang w:val="es-ES_tradnl" w:eastAsia="es-ES"/>
              </w:rPr>
              <w:t>1.6.1.  PROCESOS SOBRE CAPACIDAD DE LAS PERSONAS (*)</w:t>
            </w:r>
          </w:p>
        </w:tc>
        <w:tc>
          <w:tcPr>
            <w:tcW w:w="794" w:type="pct"/>
            <w:tcBorders>
              <w:top w:val="double" w:sz="4" w:space="0" w:color="auto"/>
              <w:bottom w:val="double" w:sz="4" w:space="0" w:color="000000"/>
            </w:tcBorders>
            <w:shd w:val="clear" w:color="auto" w:fill="BFBFBF"/>
            <w:tcMar>
              <w:left w:w="28" w:type="dxa"/>
              <w:right w:w="28" w:type="dxa"/>
            </w:tcMar>
            <w:vAlign w:val="center"/>
          </w:tcPr>
          <w:p w14:paraId="4C6BB11E" w14:textId="77777777" w:rsidR="00BA5614" w:rsidRPr="00D23E81" w:rsidRDefault="00BA5614" w:rsidP="00753293">
            <w:pPr>
              <w:spacing w:after="0" w:line="240" w:lineRule="auto"/>
              <w:contextualSpacing/>
              <w:jc w:val="center"/>
              <w:rPr>
                <w:rFonts w:ascii="Verdana" w:eastAsia="Times New Roman" w:hAnsi="Verdana" w:cs="Times New Roman"/>
                <w:b/>
                <w:sz w:val="16"/>
                <w:szCs w:val="18"/>
                <w:lang w:val="es-ES_tradnl" w:eastAsia="es-ES"/>
              </w:rPr>
            </w:pPr>
            <w:r w:rsidRPr="00D23E81">
              <w:rPr>
                <w:rFonts w:ascii="Verdana" w:eastAsia="Times New Roman" w:hAnsi="Verdana" w:cs="Times New Roman"/>
                <w:b/>
                <w:sz w:val="16"/>
                <w:szCs w:val="18"/>
                <w:lang w:val="es-ES_tradnl" w:eastAsia="es-ES"/>
              </w:rPr>
              <w:t>Pendientes trimestre anterior</w:t>
            </w:r>
          </w:p>
        </w:tc>
        <w:tc>
          <w:tcPr>
            <w:tcW w:w="794" w:type="pct"/>
            <w:tcBorders>
              <w:top w:val="double" w:sz="4" w:space="0" w:color="auto"/>
              <w:bottom w:val="double" w:sz="4" w:space="0" w:color="000000"/>
            </w:tcBorders>
            <w:shd w:val="clear" w:color="auto" w:fill="BFBFBF"/>
            <w:tcMar>
              <w:left w:w="28" w:type="dxa"/>
              <w:right w:w="28" w:type="dxa"/>
            </w:tcMar>
            <w:vAlign w:val="center"/>
          </w:tcPr>
          <w:p w14:paraId="5A76BB77" w14:textId="77777777" w:rsidR="00BA5614" w:rsidRPr="00D23E81" w:rsidRDefault="00BA5614" w:rsidP="00753293">
            <w:pPr>
              <w:keepNext/>
              <w:spacing w:after="0" w:line="240" w:lineRule="auto"/>
              <w:contextualSpacing/>
              <w:jc w:val="center"/>
              <w:outlineLvl w:val="0"/>
              <w:rPr>
                <w:rFonts w:ascii="Verdana" w:eastAsia="Times New Roman" w:hAnsi="Verdana" w:cs="Times New Roman"/>
                <w:b/>
                <w:sz w:val="16"/>
                <w:szCs w:val="18"/>
                <w:lang w:val="es-ES_tradnl" w:eastAsia="es-ES"/>
              </w:rPr>
            </w:pPr>
            <w:proofErr w:type="gramStart"/>
            <w:r w:rsidRPr="00D23E81">
              <w:rPr>
                <w:rFonts w:ascii="Verdana" w:eastAsia="Times New Roman" w:hAnsi="Verdana" w:cs="Times New Roman"/>
                <w:b/>
                <w:sz w:val="16"/>
                <w:szCs w:val="18"/>
                <w:lang w:val="es-ES_tradnl" w:eastAsia="es-ES"/>
              </w:rPr>
              <w:t>Ingresados trimestre</w:t>
            </w:r>
            <w:proofErr w:type="gramEnd"/>
          </w:p>
        </w:tc>
        <w:tc>
          <w:tcPr>
            <w:tcW w:w="794" w:type="pct"/>
            <w:tcBorders>
              <w:top w:val="double" w:sz="4" w:space="0" w:color="auto"/>
              <w:bottom w:val="double" w:sz="4" w:space="0" w:color="000000"/>
            </w:tcBorders>
            <w:shd w:val="clear" w:color="auto" w:fill="BFBFBF"/>
            <w:tcMar>
              <w:left w:w="28" w:type="dxa"/>
              <w:right w:w="28" w:type="dxa"/>
            </w:tcMar>
            <w:vAlign w:val="center"/>
          </w:tcPr>
          <w:p w14:paraId="1802AFD5" w14:textId="77777777" w:rsidR="00BA5614" w:rsidRPr="00D23E81" w:rsidRDefault="00BA5614" w:rsidP="00753293">
            <w:pPr>
              <w:keepNext/>
              <w:spacing w:after="0" w:line="240" w:lineRule="auto"/>
              <w:contextualSpacing/>
              <w:jc w:val="center"/>
              <w:outlineLvl w:val="0"/>
              <w:rPr>
                <w:rFonts w:ascii="Verdana" w:eastAsia="Times New Roman" w:hAnsi="Verdana" w:cs="Times New Roman"/>
                <w:b/>
                <w:sz w:val="16"/>
                <w:szCs w:val="18"/>
                <w:lang w:val="es-ES_tradnl" w:eastAsia="es-ES"/>
              </w:rPr>
            </w:pPr>
            <w:proofErr w:type="gramStart"/>
            <w:r w:rsidRPr="00D23E81">
              <w:rPr>
                <w:rFonts w:ascii="Verdana" w:eastAsia="Times New Roman" w:hAnsi="Verdana" w:cs="Times New Roman"/>
                <w:b/>
                <w:sz w:val="16"/>
                <w:szCs w:val="18"/>
                <w:lang w:val="es-ES_tradnl" w:eastAsia="es-ES"/>
              </w:rPr>
              <w:t>Resueltos trimestre</w:t>
            </w:r>
            <w:proofErr w:type="gramEnd"/>
          </w:p>
        </w:tc>
        <w:tc>
          <w:tcPr>
            <w:tcW w:w="794" w:type="pct"/>
            <w:tcBorders>
              <w:top w:val="double" w:sz="4" w:space="0" w:color="auto"/>
              <w:bottom w:val="double" w:sz="4" w:space="0" w:color="000000"/>
            </w:tcBorders>
            <w:shd w:val="clear" w:color="auto" w:fill="BFBFBF"/>
            <w:tcMar>
              <w:left w:w="28" w:type="dxa"/>
              <w:right w:w="28" w:type="dxa"/>
            </w:tcMar>
            <w:vAlign w:val="center"/>
          </w:tcPr>
          <w:p w14:paraId="3A202B90" w14:textId="77777777" w:rsidR="00BA5614" w:rsidRPr="00D23E81" w:rsidRDefault="00BA5614" w:rsidP="00753293">
            <w:pPr>
              <w:spacing w:after="0" w:line="240" w:lineRule="auto"/>
              <w:contextualSpacing/>
              <w:jc w:val="center"/>
              <w:rPr>
                <w:rFonts w:ascii="Verdana" w:eastAsia="Times New Roman" w:hAnsi="Verdana" w:cs="Times New Roman"/>
                <w:b/>
                <w:sz w:val="16"/>
                <w:szCs w:val="18"/>
                <w:lang w:val="es-ES_tradnl" w:eastAsia="es-ES"/>
              </w:rPr>
            </w:pPr>
            <w:r w:rsidRPr="00D23E81">
              <w:rPr>
                <w:rFonts w:ascii="Verdana" w:eastAsia="Times New Roman" w:hAnsi="Verdana" w:cs="Times New Roman"/>
                <w:b/>
                <w:sz w:val="16"/>
                <w:szCs w:val="18"/>
                <w:lang w:val="es-ES_tradnl" w:eastAsia="es-ES"/>
              </w:rPr>
              <w:t>Pendientes final trimestre</w:t>
            </w:r>
          </w:p>
        </w:tc>
      </w:tr>
      <w:tr w:rsidR="00BA5614" w:rsidRPr="00D23E81" w14:paraId="73F2F359" w14:textId="77777777" w:rsidTr="00753293">
        <w:trPr>
          <w:trHeight w:val="20"/>
          <w:jc w:val="center"/>
        </w:trPr>
        <w:tc>
          <w:tcPr>
            <w:tcW w:w="1824" w:type="pct"/>
            <w:tcBorders>
              <w:top w:val="double" w:sz="4" w:space="0" w:color="000000"/>
              <w:bottom w:val="single" w:sz="4" w:space="0" w:color="auto"/>
            </w:tcBorders>
            <w:shd w:val="clear" w:color="auto" w:fill="auto"/>
            <w:tcMar>
              <w:left w:w="28" w:type="dxa"/>
              <w:right w:w="28" w:type="dxa"/>
            </w:tcMar>
            <w:vAlign w:val="center"/>
          </w:tcPr>
          <w:p w14:paraId="0834A203"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6"/>
                <w:szCs w:val="18"/>
                <w:lang w:val="es-ES_tradnl" w:eastAsia="es-ES"/>
              </w:rPr>
            </w:pPr>
            <w:r w:rsidRPr="00D23E81">
              <w:rPr>
                <w:rFonts w:ascii="Verdana" w:eastAsia="Times New Roman" w:hAnsi="Verdana" w:cs="Times New Roman"/>
                <w:sz w:val="16"/>
                <w:szCs w:val="18"/>
                <w:lang w:val="es-ES_tradnl" w:eastAsia="es-ES"/>
              </w:rPr>
              <w:t>MODIFICATIVOS DE LA CAPACIDAD</w:t>
            </w:r>
          </w:p>
        </w:tc>
        <w:tc>
          <w:tcPr>
            <w:tcW w:w="794" w:type="pct"/>
            <w:tcBorders>
              <w:top w:val="double" w:sz="4" w:space="0" w:color="000000"/>
            </w:tcBorders>
            <w:shd w:val="clear" w:color="auto" w:fill="FFFFFF"/>
            <w:tcMar>
              <w:left w:w="28" w:type="dxa"/>
              <w:right w:w="28" w:type="dxa"/>
            </w:tcMar>
          </w:tcPr>
          <w:p w14:paraId="6637FBEB"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8"/>
                <w:szCs w:val="18"/>
                <w:lang w:val="es-ES_tradnl" w:eastAsia="es-ES"/>
              </w:rPr>
            </w:pPr>
          </w:p>
        </w:tc>
        <w:tc>
          <w:tcPr>
            <w:tcW w:w="794" w:type="pct"/>
            <w:tcBorders>
              <w:top w:val="double" w:sz="4" w:space="0" w:color="000000"/>
            </w:tcBorders>
            <w:shd w:val="clear" w:color="auto" w:fill="FFFFFF"/>
            <w:tcMar>
              <w:left w:w="28" w:type="dxa"/>
              <w:right w:w="28" w:type="dxa"/>
            </w:tcMar>
          </w:tcPr>
          <w:p w14:paraId="0CC8545F"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8"/>
                <w:szCs w:val="18"/>
                <w:lang w:val="es-ES_tradnl" w:eastAsia="es-ES"/>
              </w:rPr>
            </w:pPr>
          </w:p>
        </w:tc>
        <w:tc>
          <w:tcPr>
            <w:tcW w:w="794" w:type="pct"/>
            <w:tcBorders>
              <w:top w:val="double" w:sz="4" w:space="0" w:color="000000"/>
            </w:tcBorders>
            <w:shd w:val="clear" w:color="auto" w:fill="FFFFFF"/>
            <w:tcMar>
              <w:left w:w="28" w:type="dxa"/>
              <w:right w:w="28" w:type="dxa"/>
            </w:tcMar>
          </w:tcPr>
          <w:p w14:paraId="7C59667F"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8"/>
                <w:szCs w:val="18"/>
                <w:lang w:val="es-ES_tradnl" w:eastAsia="es-ES"/>
              </w:rPr>
            </w:pPr>
          </w:p>
        </w:tc>
        <w:tc>
          <w:tcPr>
            <w:tcW w:w="794" w:type="pct"/>
            <w:tcBorders>
              <w:top w:val="double" w:sz="4" w:space="0" w:color="000000"/>
            </w:tcBorders>
            <w:shd w:val="clear" w:color="auto" w:fill="FFFFFF"/>
            <w:tcMar>
              <w:left w:w="28" w:type="dxa"/>
              <w:right w:w="28" w:type="dxa"/>
            </w:tcMar>
          </w:tcPr>
          <w:p w14:paraId="0CBE19DD"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8"/>
                <w:szCs w:val="18"/>
                <w:lang w:val="es-ES_tradnl" w:eastAsia="es-ES"/>
              </w:rPr>
            </w:pPr>
          </w:p>
        </w:tc>
      </w:tr>
      <w:tr w:rsidR="00BA5614" w:rsidRPr="00D23E81" w14:paraId="7438C9F9" w14:textId="77777777" w:rsidTr="00753293">
        <w:trPr>
          <w:trHeight w:val="20"/>
          <w:jc w:val="center"/>
        </w:trPr>
        <w:tc>
          <w:tcPr>
            <w:tcW w:w="1824" w:type="pct"/>
            <w:tcBorders>
              <w:top w:val="single" w:sz="4" w:space="0" w:color="auto"/>
              <w:bottom w:val="single" w:sz="4" w:space="0" w:color="000000"/>
            </w:tcBorders>
            <w:shd w:val="clear" w:color="auto" w:fill="auto"/>
            <w:tcMar>
              <w:left w:w="28" w:type="dxa"/>
              <w:right w:w="28" w:type="dxa"/>
            </w:tcMar>
            <w:vAlign w:val="center"/>
          </w:tcPr>
          <w:p w14:paraId="4A6E82C9"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6"/>
                <w:szCs w:val="18"/>
                <w:lang w:val="es-ES_tradnl" w:eastAsia="es-ES"/>
              </w:rPr>
            </w:pPr>
            <w:r w:rsidRPr="00D23E81">
              <w:rPr>
                <w:rFonts w:ascii="Verdana" w:eastAsia="Times New Roman" w:hAnsi="Verdana" w:cs="Times New Roman"/>
                <w:sz w:val="16"/>
                <w:szCs w:val="18"/>
                <w:lang w:val="es-ES_tradnl" w:eastAsia="es-ES"/>
              </w:rPr>
              <w:t>DE ESTERILIZACIÓN DE INCAPACES</w:t>
            </w:r>
          </w:p>
        </w:tc>
        <w:tc>
          <w:tcPr>
            <w:tcW w:w="794" w:type="pct"/>
            <w:tcBorders>
              <w:bottom w:val="single" w:sz="4" w:space="0" w:color="000000"/>
            </w:tcBorders>
            <w:shd w:val="clear" w:color="auto" w:fill="FFFFFF"/>
            <w:tcMar>
              <w:left w:w="28" w:type="dxa"/>
              <w:right w:w="28" w:type="dxa"/>
            </w:tcMar>
          </w:tcPr>
          <w:p w14:paraId="0C9C30C4"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8"/>
                <w:szCs w:val="18"/>
                <w:lang w:val="es-ES_tradnl" w:eastAsia="es-ES"/>
              </w:rPr>
            </w:pPr>
          </w:p>
        </w:tc>
        <w:tc>
          <w:tcPr>
            <w:tcW w:w="794" w:type="pct"/>
            <w:tcBorders>
              <w:bottom w:val="single" w:sz="4" w:space="0" w:color="000000"/>
            </w:tcBorders>
            <w:shd w:val="clear" w:color="auto" w:fill="FFFFFF"/>
            <w:tcMar>
              <w:left w:w="28" w:type="dxa"/>
              <w:right w:w="28" w:type="dxa"/>
            </w:tcMar>
          </w:tcPr>
          <w:p w14:paraId="5F077737"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8"/>
                <w:szCs w:val="18"/>
                <w:lang w:val="es-ES_tradnl" w:eastAsia="es-ES"/>
              </w:rPr>
            </w:pPr>
          </w:p>
        </w:tc>
        <w:tc>
          <w:tcPr>
            <w:tcW w:w="794" w:type="pct"/>
            <w:tcBorders>
              <w:bottom w:val="single" w:sz="4" w:space="0" w:color="000000"/>
            </w:tcBorders>
            <w:shd w:val="clear" w:color="auto" w:fill="FFFFFF"/>
            <w:tcMar>
              <w:left w:w="28" w:type="dxa"/>
              <w:right w:w="28" w:type="dxa"/>
            </w:tcMar>
          </w:tcPr>
          <w:p w14:paraId="3C7552AC"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8"/>
                <w:szCs w:val="18"/>
                <w:lang w:val="es-ES_tradnl" w:eastAsia="es-ES"/>
              </w:rPr>
            </w:pPr>
          </w:p>
        </w:tc>
        <w:tc>
          <w:tcPr>
            <w:tcW w:w="794" w:type="pct"/>
            <w:tcBorders>
              <w:bottom w:val="single" w:sz="4" w:space="0" w:color="000000"/>
            </w:tcBorders>
            <w:shd w:val="clear" w:color="auto" w:fill="FFFFFF"/>
            <w:tcMar>
              <w:left w:w="28" w:type="dxa"/>
              <w:right w:w="28" w:type="dxa"/>
            </w:tcMar>
          </w:tcPr>
          <w:p w14:paraId="7BF15437"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8"/>
                <w:szCs w:val="18"/>
                <w:lang w:val="es-ES_tradnl" w:eastAsia="es-ES"/>
              </w:rPr>
            </w:pPr>
          </w:p>
        </w:tc>
      </w:tr>
      <w:tr w:rsidR="00BA5614" w:rsidRPr="00D23E81" w14:paraId="4907390B" w14:textId="77777777" w:rsidTr="00753293">
        <w:trPr>
          <w:trHeight w:val="20"/>
          <w:jc w:val="center"/>
        </w:trPr>
        <w:tc>
          <w:tcPr>
            <w:tcW w:w="1824" w:type="pct"/>
            <w:tcBorders>
              <w:top w:val="single" w:sz="4" w:space="0" w:color="000000"/>
              <w:left w:val="double" w:sz="4" w:space="0" w:color="000000"/>
              <w:bottom w:val="double" w:sz="4" w:space="0" w:color="000000"/>
              <w:right w:val="single" w:sz="4" w:space="0" w:color="000000"/>
            </w:tcBorders>
            <w:shd w:val="clear" w:color="auto" w:fill="auto"/>
            <w:tcMar>
              <w:left w:w="28" w:type="dxa"/>
              <w:right w:w="28" w:type="dxa"/>
            </w:tcMar>
            <w:vAlign w:val="center"/>
          </w:tcPr>
          <w:p w14:paraId="41A9495F"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468"/>
                <w:tab w:val="left" w:pos="10080"/>
              </w:tabs>
              <w:spacing w:after="0" w:line="240" w:lineRule="auto"/>
              <w:contextualSpacing/>
              <w:jc w:val="center"/>
              <w:rPr>
                <w:rFonts w:ascii="Verdana" w:eastAsia="Times New Roman" w:hAnsi="Verdana" w:cs="Times New Roman"/>
                <w:b/>
                <w:sz w:val="16"/>
                <w:szCs w:val="18"/>
                <w:lang w:val="es-ES_tradnl" w:eastAsia="es-ES"/>
              </w:rPr>
            </w:pPr>
            <w:r w:rsidRPr="00D23E81">
              <w:rPr>
                <w:rFonts w:ascii="Verdana" w:eastAsia="Times New Roman" w:hAnsi="Verdana" w:cs="Times New Roman"/>
                <w:b/>
                <w:sz w:val="16"/>
                <w:szCs w:val="18"/>
                <w:lang w:val="es-ES_tradnl" w:eastAsia="es-ES"/>
              </w:rPr>
              <w:t>TOTAL</w:t>
            </w:r>
          </w:p>
        </w:tc>
        <w:tc>
          <w:tcPr>
            <w:tcW w:w="794" w:type="pct"/>
            <w:tcBorders>
              <w:top w:val="single" w:sz="4" w:space="0" w:color="000000"/>
              <w:left w:val="single" w:sz="4" w:space="0" w:color="000000"/>
              <w:bottom w:val="double" w:sz="4" w:space="0" w:color="000000"/>
              <w:right w:val="single" w:sz="4" w:space="0" w:color="000000"/>
            </w:tcBorders>
            <w:shd w:val="clear" w:color="auto" w:fill="auto"/>
            <w:tcMar>
              <w:left w:w="28" w:type="dxa"/>
              <w:right w:w="28" w:type="dxa"/>
            </w:tcMar>
            <w:vAlign w:val="center"/>
          </w:tcPr>
          <w:p w14:paraId="16709B5B"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468"/>
                <w:tab w:val="left" w:pos="10080"/>
              </w:tabs>
              <w:spacing w:after="0" w:line="240" w:lineRule="auto"/>
              <w:contextualSpacing/>
              <w:jc w:val="center"/>
              <w:rPr>
                <w:rFonts w:ascii="Verdana" w:eastAsia="Times New Roman" w:hAnsi="Verdana" w:cs="Times New Roman"/>
                <w:b/>
                <w:sz w:val="16"/>
                <w:szCs w:val="18"/>
                <w:lang w:val="es-ES_tradnl" w:eastAsia="es-ES"/>
              </w:rPr>
            </w:pPr>
          </w:p>
        </w:tc>
        <w:tc>
          <w:tcPr>
            <w:tcW w:w="794" w:type="pct"/>
            <w:tcBorders>
              <w:top w:val="single" w:sz="4" w:space="0" w:color="000000"/>
              <w:left w:val="single" w:sz="4" w:space="0" w:color="000000"/>
              <w:bottom w:val="double" w:sz="4" w:space="0" w:color="000000"/>
              <w:right w:val="single" w:sz="4" w:space="0" w:color="000000"/>
            </w:tcBorders>
            <w:shd w:val="clear" w:color="auto" w:fill="auto"/>
            <w:tcMar>
              <w:left w:w="28" w:type="dxa"/>
              <w:right w:w="28" w:type="dxa"/>
            </w:tcMar>
            <w:vAlign w:val="center"/>
          </w:tcPr>
          <w:p w14:paraId="79049D5D"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468"/>
                <w:tab w:val="left" w:pos="10080"/>
              </w:tabs>
              <w:spacing w:after="0" w:line="240" w:lineRule="auto"/>
              <w:contextualSpacing/>
              <w:jc w:val="center"/>
              <w:rPr>
                <w:rFonts w:ascii="Verdana" w:eastAsia="Times New Roman" w:hAnsi="Verdana" w:cs="Times New Roman"/>
                <w:b/>
                <w:sz w:val="16"/>
                <w:szCs w:val="18"/>
                <w:lang w:val="es-ES_tradnl" w:eastAsia="es-ES"/>
              </w:rPr>
            </w:pPr>
          </w:p>
        </w:tc>
        <w:tc>
          <w:tcPr>
            <w:tcW w:w="794" w:type="pct"/>
            <w:tcBorders>
              <w:top w:val="single" w:sz="4" w:space="0" w:color="000000"/>
              <w:left w:val="single" w:sz="4" w:space="0" w:color="000000"/>
              <w:bottom w:val="double" w:sz="4" w:space="0" w:color="000000"/>
              <w:right w:val="single" w:sz="4" w:space="0" w:color="000000"/>
            </w:tcBorders>
            <w:shd w:val="clear" w:color="auto" w:fill="auto"/>
            <w:tcMar>
              <w:left w:w="28" w:type="dxa"/>
              <w:right w:w="28" w:type="dxa"/>
            </w:tcMar>
            <w:vAlign w:val="center"/>
          </w:tcPr>
          <w:p w14:paraId="4115F88A"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468"/>
                <w:tab w:val="left" w:pos="10080"/>
              </w:tabs>
              <w:spacing w:after="0" w:line="240" w:lineRule="auto"/>
              <w:contextualSpacing/>
              <w:jc w:val="center"/>
              <w:rPr>
                <w:rFonts w:ascii="Verdana" w:eastAsia="Times New Roman" w:hAnsi="Verdana" w:cs="Times New Roman"/>
                <w:b/>
                <w:sz w:val="16"/>
                <w:szCs w:val="18"/>
                <w:lang w:val="es-ES_tradnl" w:eastAsia="es-ES"/>
              </w:rPr>
            </w:pPr>
          </w:p>
        </w:tc>
        <w:tc>
          <w:tcPr>
            <w:tcW w:w="794" w:type="pct"/>
            <w:tcBorders>
              <w:top w:val="single" w:sz="4" w:space="0" w:color="000000"/>
              <w:left w:val="single" w:sz="4" w:space="0" w:color="000000"/>
              <w:bottom w:val="double" w:sz="4" w:space="0" w:color="000000"/>
              <w:right w:val="double" w:sz="4" w:space="0" w:color="000000"/>
            </w:tcBorders>
            <w:shd w:val="clear" w:color="auto" w:fill="auto"/>
            <w:tcMar>
              <w:left w:w="28" w:type="dxa"/>
              <w:right w:w="28" w:type="dxa"/>
            </w:tcMar>
            <w:vAlign w:val="center"/>
          </w:tcPr>
          <w:p w14:paraId="02EC9470"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468"/>
                <w:tab w:val="left" w:pos="10080"/>
              </w:tabs>
              <w:spacing w:after="0" w:line="240" w:lineRule="auto"/>
              <w:contextualSpacing/>
              <w:jc w:val="center"/>
              <w:rPr>
                <w:rFonts w:ascii="Verdana" w:eastAsia="Times New Roman" w:hAnsi="Verdana" w:cs="Times New Roman"/>
                <w:b/>
                <w:sz w:val="16"/>
                <w:szCs w:val="18"/>
                <w:lang w:val="es-ES_tradnl" w:eastAsia="es-ES"/>
              </w:rPr>
            </w:pPr>
          </w:p>
        </w:tc>
      </w:tr>
    </w:tbl>
    <w:p w14:paraId="35244938" w14:textId="77777777" w:rsidR="00BA5614" w:rsidRPr="00D23E81" w:rsidRDefault="00BA5614" w:rsidP="00BA5614">
      <w:pPr>
        <w:spacing w:after="0" w:line="240" w:lineRule="auto"/>
        <w:contextualSpacing/>
        <w:rPr>
          <w:rFonts w:ascii="Verdana" w:eastAsia="Times New Roman" w:hAnsi="Verdana" w:cs="Times New Roman"/>
          <w:sz w:val="16"/>
          <w:szCs w:val="18"/>
          <w:lang w:eastAsia="es-ES"/>
        </w:rPr>
      </w:pPr>
      <w:r w:rsidRPr="00D23E81">
        <w:rPr>
          <w:rFonts w:ascii="Verdana" w:eastAsia="Times New Roman" w:hAnsi="Verdana" w:cs="Times New Roman"/>
          <w:sz w:val="16"/>
          <w:szCs w:val="18"/>
          <w:lang w:eastAsia="es-ES"/>
        </w:rPr>
        <w:t>(*) Los procesos sobre capacidad de las personas sólo se computarán en este apartado y nunca en el apartado I.5. Asimismo, las sentencias dictadas en estos procesos deberán liquidarse en Sentencias en Procesos de Familia.</w:t>
      </w:r>
    </w:p>
    <w:p w14:paraId="4C19BB3D" w14:textId="77777777" w:rsidR="00BA5614" w:rsidRDefault="00BA5614" w:rsidP="00BA5614">
      <w:pPr>
        <w:rPr>
          <w:sz w:val="24"/>
          <w:szCs w:val="24"/>
        </w:rPr>
      </w:pPr>
    </w:p>
    <w:p w14:paraId="7D11A75D" w14:textId="77777777" w:rsidR="00BA5614" w:rsidRDefault="00BA5614" w:rsidP="00BA5614">
      <w:pPr>
        <w:rPr>
          <w:sz w:val="24"/>
          <w:szCs w:val="24"/>
        </w:rPr>
      </w:pPr>
      <w:r>
        <w:rPr>
          <w:sz w:val="24"/>
          <w:szCs w:val="24"/>
        </w:rPr>
        <w:t>POR:</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FBFBF"/>
        <w:tblCellMar>
          <w:top w:w="28" w:type="dxa"/>
          <w:left w:w="28" w:type="dxa"/>
          <w:bottom w:w="28" w:type="dxa"/>
          <w:right w:w="28" w:type="dxa"/>
        </w:tblCellMar>
        <w:tblLook w:val="04A0" w:firstRow="1" w:lastRow="0" w:firstColumn="1" w:lastColumn="0" w:noHBand="0" w:noVBand="1"/>
      </w:tblPr>
      <w:tblGrid>
        <w:gridCol w:w="3090"/>
        <w:gridCol w:w="1346"/>
        <w:gridCol w:w="1346"/>
        <w:gridCol w:w="1346"/>
        <w:gridCol w:w="1346"/>
      </w:tblGrid>
      <w:tr w:rsidR="00BA5614" w:rsidRPr="00D23E81" w14:paraId="0A0FB528" w14:textId="77777777" w:rsidTr="00753293">
        <w:trPr>
          <w:trHeight w:val="20"/>
          <w:jc w:val="center"/>
        </w:trPr>
        <w:tc>
          <w:tcPr>
            <w:tcW w:w="1823" w:type="pct"/>
            <w:vMerge w:val="restart"/>
            <w:tcBorders>
              <w:top w:val="double" w:sz="4" w:space="0" w:color="auto"/>
            </w:tcBorders>
            <w:shd w:val="clear" w:color="auto" w:fill="BFBFBF"/>
            <w:tcMar>
              <w:left w:w="28" w:type="dxa"/>
              <w:right w:w="28" w:type="dxa"/>
            </w:tcMar>
            <w:vAlign w:val="center"/>
          </w:tcPr>
          <w:p w14:paraId="294E8E07" w14:textId="77777777" w:rsidR="00BA5614" w:rsidRPr="00D23E81" w:rsidRDefault="00BA5614" w:rsidP="00753293">
            <w:pPr>
              <w:tabs>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468"/>
                <w:tab w:val="left" w:pos="10080"/>
              </w:tabs>
              <w:spacing w:after="0" w:line="240" w:lineRule="auto"/>
              <w:ind w:left="381" w:hanging="381"/>
              <w:contextualSpacing/>
              <w:rPr>
                <w:rFonts w:ascii="Verdana" w:eastAsia="Times New Roman" w:hAnsi="Verdana" w:cs="Times New Roman"/>
                <w:b/>
                <w:sz w:val="18"/>
                <w:szCs w:val="18"/>
                <w:lang w:val="es-ES_tradnl" w:eastAsia="es-ES"/>
              </w:rPr>
            </w:pPr>
            <w:r w:rsidRPr="00D23E81">
              <w:rPr>
                <w:rFonts w:ascii="Verdana" w:eastAsia="Times New Roman" w:hAnsi="Verdana" w:cs="Times New Roman"/>
                <w:b/>
                <w:sz w:val="18"/>
                <w:szCs w:val="18"/>
                <w:lang w:val="es-ES_tradnl" w:eastAsia="es-ES"/>
              </w:rPr>
              <w:t xml:space="preserve">1.6.1.  PROCESOS </w:t>
            </w:r>
            <w:r>
              <w:rPr>
                <w:rFonts w:ascii="Verdana" w:eastAsia="Times New Roman" w:hAnsi="Verdana" w:cs="Times New Roman"/>
                <w:b/>
                <w:sz w:val="18"/>
                <w:szCs w:val="18"/>
                <w:lang w:val="es-ES_tradnl" w:eastAsia="es-ES"/>
              </w:rPr>
              <w:t>MODIFICATIVOS DE LA</w:t>
            </w:r>
            <w:r w:rsidRPr="00D23E81">
              <w:rPr>
                <w:rFonts w:ascii="Verdana" w:eastAsia="Times New Roman" w:hAnsi="Verdana" w:cs="Times New Roman"/>
                <w:b/>
                <w:sz w:val="18"/>
                <w:szCs w:val="18"/>
                <w:lang w:val="es-ES_tradnl" w:eastAsia="es-ES"/>
              </w:rPr>
              <w:t xml:space="preserve"> CAPACIDAD DE LAS PERSONAS (*)</w:t>
            </w:r>
          </w:p>
        </w:tc>
        <w:tc>
          <w:tcPr>
            <w:tcW w:w="794" w:type="pct"/>
            <w:tcBorders>
              <w:top w:val="double" w:sz="4" w:space="0" w:color="auto"/>
              <w:bottom w:val="double" w:sz="4" w:space="0" w:color="000000"/>
            </w:tcBorders>
            <w:shd w:val="clear" w:color="auto" w:fill="BFBFBF"/>
            <w:tcMar>
              <w:left w:w="28" w:type="dxa"/>
              <w:right w:w="28" w:type="dxa"/>
            </w:tcMar>
            <w:vAlign w:val="center"/>
          </w:tcPr>
          <w:p w14:paraId="45AB641B" w14:textId="77777777" w:rsidR="00BA5614" w:rsidRPr="00D23E81" w:rsidRDefault="00BA5614" w:rsidP="00753293">
            <w:pPr>
              <w:spacing w:after="0" w:line="240" w:lineRule="auto"/>
              <w:contextualSpacing/>
              <w:jc w:val="center"/>
              <w:rPr>
                <w:rFonts w:ascii="Verdana" w:eastAsia="Times New Roman" w:hAnsi="Verdana" w:cs="Times New Roman"/>
                <w:b/>
                <w:sz w:val="16"/>
                <w:szCs w:val="18"/>
                <w:lang w:val="es-ES_tradnl" w:eastAsia="es-ES"/>
              </w:rPr>
            </w:pPr>
            <w:r w:rsidRPr="00D23E81">
              <w:rPr>
                <w:rFonts w:ascii="Verdana" w:eastAsia="Times New Roman" w:hAnsi="Verdana" w:cs="Times New Roman"/>
                <w:b/>
                <w:sz w:val="16"/>
                <w:szCs w:val="18"/>
                <w:lang w:val="es-ES_tradnl" w:eastAsia="es-ES"/>
              </w:rPr>
              <w:t>Pendientes trimestre anterior</w:t>
            </w:r>
          </w:p>
        </w:tc>
        <w:tc>
          <w:tcPr>
            <w:tcW w:w="794" w:type="pct"/>
            <w:tcBorders>
              <w:top w:val="double" w:sz="4" w:space="0" w:color="auto"/>
              <w:bottom w:val="double" w:sz="4" w:space="0" w:color="000000"/>
            </w:tcBorders>
            <w:shd w:val="clear" w:color="auto" w:fill="BFBFBF"/>
            <w:tcMar>
              <w:left w:w="28" w:type="dxa"/>
              <w:right w:w="28" w:type="dxa"/>
            </w:tcMar>
            <w:vAlign w:val="center"/>
          </w:tcPr>
          <w:p w14:paraId="5B2C372C" w14:textId="77777777" w:rsidR="00BA5614" w:rsidRPr="00D23E81" w:rsidRDefault="00BA5614" w:rsidP="00753293">
            <w:pPr>
              <w:keepNext/>
              <w:spacing w:after="0" w:line="240" w:lineRule="auto"/>
              <w:contextualSpacing/>
              <w:jc w:val="center"/>
              <w:outlineLvl w:val="0"/>
              <w:rPr>
                <w:rFonts w:ascii="Verdana" w:eastAsia="Times New Roman" w:hAnsi="Verdana" w:cs="Times New Roman"/>
                <w:b/>
                <w:sz w:val="16"/>
                <w:szCs w:val="18"/>
                <w:lang w:val="es-ES_tradnl" w:eastAsia="es-ES"/>
              </w:rPr>
            </w:pPr>
            <w:proofErr w:type="gramStart"/>
            <w:r w:rsidRPr="00D23E81">
              <w:rPr>
                <w:rFonts w:ascii="Verdana" w:eastAsia="Times New Roman" w:hAnsi="Verdana" w:cs="Times New Roman"/>
                <w:b/>
                <w:sz w:val="16"/>
                <w:szCs w:val="18"/>
                <w:lang w:val="es-ES_tradnl" w:eastAsia="es-ES"/>
              </w:rPr>
              <w:t>Ingresados trimestre</w:t>
            </w:r>
            <w:proofErr w:type="gramEnd"/>
          </w:p>
        </w:tc>
        <w:tc>
          <w:tcPr>
            <w:tcW w:w="794" w:type="pct"/>
            <w:tcBorders>
              <w:top w:val="double" w:sz="4" w:space="0" w:color="auto"/>
              <w:bottom w:val="double" w:sz="4" w:space="0" w:color="000000"/>
            </w:tcBorders>
            <w:shd w:val="clear" w:color="auto" w:fill="BFBFBF"/>
            <w:tcMar>
              <w:left w:w="28" w:type="dxa"/>
              <w:right w:w="28" w:type="dxa"/>
            </w:tcMar>
            <w:vAlign w:val="center"/>
          </w:tcPr>
          <w:p w14:paraId="4A4D8B3E" w14:textId="77777777" w:rsidR="00BA5614" w:rsidRPr="00D23E81" w:rsidRDefault="00BA5614" w:rsidP="00753293">
            <w:pPr>
              <w:keepNext/>
              <w:spacing w:after="0" w:line="240" w:lineRule="auto"/>
              <w:contextualSpacing/>
              <w:jc w:val="center"/>
              <w:outlineLvl w:val="0"/>
              <w:rPr>
                <w:rFonts w:ascii="Verdana" w:eastAsia="Times New Roman" w:hAnsi="Verdana" w:cs="Times New Roman"/>
                <w:b/>
                <w:sz w:val="16"/>
                <w:szCs w:val="18"/>
                <w:lang w:val="es-ES_tradnl" w:eastAsia="es-ES"/>
              </w:rPr>
            </w:pPr>
            <w:proofErr w:type="gramStart"/>
            <w:r w:rsidRPr="00D23E81">
              <w:rPr>
                <w:rFonts w:ascii="Verdana" w:eastAsia="Times New Roman" w:hAnsi="Verdana" w:cs="Times New Roman"/>
                <w:b/>
                <w:sz w:val="16"/>
                <w:szCs w:val="18"/>
                <w:lang w:val="es-ES_tradnl" w:eastAsia="es-ES"/>
              </w:rPr>
              <w:t>Resueltos trimestre</w:t>
            </w:r>
            <w:proofErr w:type="gramEnd"/>
          </w:p>
        </w:tc>
        <w:tc>
          <w:tcPr>
            <w:tcW w:w="794" w:type="pct"/>
            <w:tcBorders>
              <w:top w:val="double" w:sz="4" w:space="0" w:color="auto"/>
              <w:bottom w:val="double" w:sz="4" w:space="0" w:color="000000"/>
            </w:tcBorders>
            <w:shd w:val="clear" w:color="auto" w:fill="BFBFBF"/>
            <w:tcMar>
              <w:left w:w="28" w:type="dxa"/>
              <w:right w:w="28" w:type="dxa"/>
            </w:tcMar>
            <w:vAlign w:val="center"/>
          </w:tcPr>
          <w:p w14:paraId="1BE3B7D2" w14:textId="77777777" w:rsidR="00BA5614" w:rsidRPr="00D23E81" w:rsidRDefault="00BA5614" w:rsidP="00753293">
            <w:pPr>
              <w:spacing w:after="0" w:line="240" w:lineRule="auto"/>
              <w:contextualSpacing/>
              <w:jc w:val="center"/>
              <w:rPr>
                <w:rFonts w:ascii="Verdana" w:eastAsia="Times New Roman" w:hAnsi="Verdana" w:cs="Times New Roman"/>
                <w:b/>
                <w:sz w:val="16"/>
                <w:szCs w:val="18"/>
                <w:lang w:val="es-ES_tradnl" w:eastAsia="es-ES"/>
              </w:rPr>
            </w:pPr>
            <w:r w:rsidRPr="00D23E81">
              <w:rPr>
                <w:rFonts w:ascii="Verdana" w:eastAsia="Times New Roman" w:hAnsi="Verdana" w:cs="Times New Roman"/>
                <w:b/>
                <w:sz w:val="16"/>
                <w:szCs w:val="18"/>
                <w:lang w:val="es-ES_tradnl" w:eastAsia="es-ES"/>
              </w:rPr>
              <w:t>Pendientes final trimestre</w:t>
            </w:r>
          </w:p>
        </w:tc>
      </w:tr>
      <w:tr w:rsidR="00BA5614" w:rsidRPr="00D23E81" w14:paraId="023DAF0C" w14:textId="77777777" w:rsidTr="00753293">
        <w:trPr>
          <w:trHeight w:val="20"/>
          <w:jc w:val="center"/>
        </w:trPr>
        <w:tc>
          <w:tcPr>
            <w:tcW w:w="1823" w:type="pct"/>
            <w:vMerge/>
            <w:tcBorders>
              <w:bottom w:val="single" w:sz="4" w:space="0" w:color="auto"/>
            </w:tcBorders>
            <w:shd w:val="clear" w:color="auto" w:fill="auto"/>
            <w:tcMar>
              <w:left w:w="28" w:type="dxa"/>
              <w:right w:w="28" w:type="dxa"/>
            </w:tcMar>
            <w:vAlign w:val="center"/>
          </w:tcPr>
          <w:p w14:paraId="17A5660C"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6"/>
                <w:szCs w:val="18"/>
                <w:lang w:val="es-ES_tradnl" w:eastAsia="es-ES"/>
              </w:rPr>
            </w:pPr>
          </w:p>
        </w:tc>
        <w:tc>
          <w:tcPr>
            <w:tcW w:w="794" w:type="pct"/>
            <w:tcBorders>
              <w:top w:val="double" w:sz="4" w:space="0" w:color="000000"/>
            </w:tcBorders>
            <w:shd w:val="clear" w:color="auto" w:fill="FFFFFF"/>
            <w:tcMar>
              <w:left w:w="28" w:type="dxa"/>
              <w:right w:w="28" w:type="dxa"/>
            </w:tcMar>
          </w:tcPr>
          <w:p w14:paraId="3F489BC6"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8"/>
                <w:szCs w:val="18"/>
                <w:lang w:val="es-ES_tradnl" w:eastAsia="es-ES"/>
              </w:rPr>
            </w:pPr>
          </w:p>
        </w:tc>
        <w:tc>
          <w:tcPr>
            <w:tcW w:w="794" w:type="pct"/>
            <w:tcBorders>
              <w:top w:val="double" w:sz="4" w:space="0" w:color="000000"/>
            </w:tcBorders>
            <w:shd w:val="clear" w:color="auto" w:fill="FFFFFF"/>
            <w:tcMar>
              <w:left w:w="28" w:type="dxa"/>
              <w:right w:w="28" w:type="dxa"/>
            </w:tcMar>
          </w:tcPr>
          <w:p w14:paraId="5F8CC45C"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8"/>
                <w:szCs w:val="18"/>
                <w:lang w:val="es-ES_tradnl" w:eastAsia="es-ES"/>
              </w:rPr>
            </w:pPr>
          </w:p>
        </w:tc>
        <w:tc>
          <w:tcPr>
            <w:tcW w:w="794" w:type="pct"/>
            <w:tcBorders>
              <w:top w:val="double" w:sz="4" w:space="0" w:color="000000"/>
            </w:tcBorders>
            <w:shd w:val="clear" w:color="auto" w:fill="FFFFFF"/>
            <w:tcMar>
              <w:left w:w="28" w:type="dxa"/>
              <w:right w:w="28" w:type="dxa"/>
            </w:tcMar>
          </w:tcPr>
          <w:p w14:paraId="3655D790"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8"/>
                <w:szCs w:val="18"/>
                <w:lang w:val="es-ES_tradnl" w:eastAsia="es-ES"/>
              </w:rPr>
            </w:pPr>
          </w:p>
        </w:tc>
        <w:tc>
          <w:tcPr>
            <w:tcW w:w="794" w:type="pct"/>
            <w:tcBorders>
              <w:top w:val="double" w:sz="4" w:space="0" w:color="000000"/>
            </w:tcBorders>
            <w:shd w:val="clear" w:color="auto" w:fill="FFFFFF"/>
            <w:tcMar>
              <w:left w:w="28" w:type="dxa"/>
              <w:right w:w="28" w:type="dxa"/>
            </w:tcMar>
          </w:tcPr>
          <w:p w14:paraId="163B767F" w14:textId="77777777" w:rsidR="00BA5614" w:rsidRPr="00D23E81" w:rsidRDefault="00BA5614" w:rsidP="00753293">
            <w:pPr>
              <w:tabs>
                <w:tab w:val="left" w:pos="0"/>
                <w:tab w:val="left" w:pos="5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Verdana" w:eastAsia="Times New Roman" w:hAnsi="Verdana" w:cs="Times New Roman"/>
                <w:sz w:val="18"/>
                <w:szCs w:val="18"/>
                <w:lang w:val="es-ES_tradnl" w:eastAsia="es-ES"/>
              </w:rPr>
            </w:pPr>
          </w:p>
        </w:tc>
      </w:tr>
    </w:tbl>
    <w:p w14:paraId="137108B9" w14:textId="77777777" w:rsidR="00BA5614" w:rsidRPr="00D23E81" w:rsidRDefault="00BA5614" w:rsidP="00BA5614">
      <w:pPr>
        <w:spacing w:after="0" w:line="240" w:lineRule="auto"/>
        <w:contextualSpacing/>
        <w:rPr>
          <w:rFonts w:ascii="Verdana" w:eastAsia="Times New Roman" w:hAnsi="Verdana" w:cs="Times New Roman"/>
          <w:sz w:val="16"/>
          <w:szCs w:val="18"/>
          <w:lang w:eastAsia="es-ES"/>
        </w:rPr>
      </w:pPr>
      <w:r w:rsidRPr="00D23E81">
        <w:rPr>
          <w:rFonts w:ascii="Verdana" w:eastAsia="Times New Roman" w:hAnsi="Verdana" w:cs="Times New Roman"/>
          <w:sz w:val="16"/>
          <w:szCs w:val="18"/>
          <w:lang w:eastAsia="es-ES"/>
        </w:rPr>
        <w:t>(*) Los procesos sobre capacidad de las personas sólo se computarán en este apartado y nunca en el apartado I.5. Asimismo, las sentencias dictadas en estos procesos deberán liquidarse en Sentencias en Procesos de Familia.</w:t>
      </w:r>
    </w:p>
    <w:p w14:paraId="72685EDF" w14:textId="77777777" w:rsidR="00BA5614" w:rsidRDefault="00BA5614" w:rsidP="00BA5614">
      <w:pPr>
        <w:rPr>
          <w:sz w:val="24"/>
          <w:szCs w:val="24"/>
        </w:rPr>
      </w:pPr>
    </w:p>
    <w:p w14:paraId="032A0CE6" w14:textId="2DD44C4F" w:rsidR="005F78B0" w:rsidRDefault="005F78B0" w:rsidP="005F78B0">
      <w:pPr>
        <w:spacing w:after="0"/>
        <w:rPr>
          <w:b/>
          <w:sz w:val="28"/>
          <w:szCs w:val="28"/>
        </w:rPr>
      </w:pPr>
      <w:r w:rsidRPr="00AD3ED5">
        <w:rPr>
          <w:b/>
          <w:sz w:val="28"/>
          <w:szCs w:val="28"/>
        </w:rPr>
        <w:lastRenderedPageBreak/>
        <w:t>III.</w:t>
      </w:r>
      <w:r w:rsidRPr="00AD3ED5">
        <w:rPr>
          <w:b/>
          <w:sz w:val="28"/>
          <w:szCs w:val="28"/>
        </w:rPr>
        <w:tab/>
        <w:t>RESOLUCIONES FINALES</w:t>
      </w:r>
    </w:p>
    <w:p w14:paraId="7F3D86CD" w14:textId="77777777" w:rsidR="005F78B0" w:rsidRPr="00AD3ED5" w:rsidRDefault="005F78B0" w:rsidP="005F78B0">
      <w:pPr>
        <w:spacing w:after="0"/>
        <w:rPr>
          <w:b/>
          <w:sz w:val="24"/>
          <w:szCs w:val="24"/>
        </w:rPr>
      </w:pPr>
      <w:r w:rsidRPr="00AD3ED5">
        <w:rPr>
          <w:b/>
          <w:sz w:val="24"/>
          <w:szCs w:val="24"/>
        </w:rPr>
        <w:t>RESUMEN GENERAL</w:t>
      </w:r>
    </w:p>
    <w:p w14:paraId="76696FF7" w14:textId="77777777" w:rsidR="005F78B0" w:rsidRDefault="005F78B0" w:rsidP="005F78B0">
      <w:pPr>
        <w:spacing w:after="0"/>
        <w:rPr>
          <w:b/>
          <w:sz w:val="24"/>
          <w:szCs w:val="24"/>
        </w:rPr>
      </w:pPr>
      <w:r w:rsidRPr="00AD3ED5">
        <w:rPr>
          <w:b/>
          <w:sz w:val="24"/>
          <w:szCs w:val="24"/>
        </w:rPr>
        <w:t>1.</w:t>
      </w:r>
      <w:r w:rsidRPr="00AD3ED5">
        <w:rPr>
          <w:b/>
          <w:sz w:val="24"/>
          <w:szCs w:val="24"/>
        </w:rPr>
        <w:tab/>
        <w:t>ÁREA CIVIL</w:t>
      </w:r>
    </w:p>
    <w:p w14:paraId="51B0B55A" w14:textId="77777777" w:rsidR="005F78B0" w:rsidRDefault="005F78B0" w:rsidP="00ED43C2">
      <w:pPr>
        <w:rPr>
          <w:b/>
          <w:sz w:val="28"/>
          <w:szCs w:val="28"/>
          <w:u w:val="single"/>
        </w:rPr>
      </w:pPr>
    </w:p>
    <w:p w14:paraId="0ADA42C0" w14:textId="77777777" w:rsidR="00ED43C2" w:rsidRPr="003F0F1F" w:rsidRDefault="00ED43C2" w:rsidP="00ED43C2">
      <w:pPr>
        <w:rPr>
          <w:b/>
          <w:sz w:val="24"/>
          <w:szCs w:val="24"/>
          <w:u w:val="single"/>
        </w:rPr>
      </w:pPr>
      <w:r w:rsidRPr="003F0F1F">
        <w:rPr>
          <w:b/>
          <w:sz w:val="24"/>
          <w:szCs w:val="24"/>
          <w:u w:val="single"/>
        </w:rPr>
        <w:t>1.10 RESOLUCIONES DICTADAS EN PROCEDIMIENTOS SOBRE ARRENDAMIENTOS URBANOS</w:t>
      </w:r>
    </w:p>
    <w:p w14:paraId="08B5786B" w14:textId="77777777" w:rsidR="00ED43C2" w:rsidRPr="00B81D1B" w:rsidRDefault="00ED43C2" w:rsidP="00ED43C2">
      <w:pPr>
        <w:rPr>
          <w:b/>
          <w:color w:val="FF0000"/>
          <w:sz w:val="28"/>
          <w:szCs w:val="28"/>
          <w:u w:val="single"/>
        </w:rPr>
      </w:pPr>
      <w:r w:rsidRPr="00B81D1B">
        <w:rPr>
          <w:b/>
          <w:color w:val="FF0000"/>
          <w:sz w:val="28"/>
          <w:szCs w:val="28"/>
          <w:u w:val="single"/>
        </w:rPr>
        <w:t xml:space="preserve">1.10.1 </w:t>
      </w:r>
      <w:r w:rsidRPr="00B81D1B">
        <w:rPr>
          <w:b/>
          <w:color w:val="FF0000"/>
          <w:sz w:val="24"/>
          <w:szCs w:val="24"/>
          <w:u w:val="single"/>
        </w:rPr>
        <w:t>SENTENCIAS DICTADAS:</w:t>
      </w:r>
    </w:p>
    <w:tbl>
      <w:tblPr>
        <w:tblW w:w="10827" w:type="dxa"/>
        <w:tblInd w:w="-1016" w:type="dxa"/>
        <w:tblCellMar>
          <w:left w:w="70" w:type="dxa"/>
          <w:right w:w="70" w:type="dxa"/>
        </w:tblCellMar>
        <w:tblLook w:val="04A0" w:firstRow="1" w:lastRow="0" w:firstColumn="1" w:lastColumn="0" w:noHBand="0" w:noVBand="1"/>
      </w:tblPr>
      <w:tblGrid>
        <w:gridCol w:w="2047"/>
        <w:gridCol w:w="1163"/>
        <w:gridCol w:w="1374"/>
        <w:gridCol w:w="1508"/>
        <w:gridCol w:w="1126"/>
        <w:gridCol w:w="1374"/>
        <w:gridCol w:w="1508"/>
        <w:gridCol w:w="727"/>
      </w:tblGrid>
      <w:tr w:rsidR="00ED43C2" w:rsidRPr="00C222C1" w14:paraId="7EE80ADB" w14:textId="77777777" w:rsidTr="003F19AE">
        <w:trPr>
          <w:trHeight w:val="277"/>
        </w:trPr>
        <w:tc>
          <w:tcPr>
            <w:tcW w:w="2047" w:type="dxa"/>
            <w:vMerge w:val="restart"/>
            <w:tcBorders>
              <w:top w:val="double" w:sz="6" w:space="0" w:color="auto"/>
              <w:left w:val="double" w:sz="6" w:space="0" w:color="auto"/>
              <w:bottom w:val="double" w:sz="6" w:space="0" w:color="000000"/>
              <w:right w:val="single" w:sz="8" w:space="0" w:color="auto"/>
            </w:tcBorders>
            <w:shd w:val="clear" w:color="000000" w:fill="D9D9D9"/>
            <w:vAlign w:val="center"/>
            <w:hideMark/>
          </w:tcPr>
          <w:p w14:paraId="0E2FC6E8" w14:textId="77777777" w:rsidR="00ED43C2" w:rsidRPr="00C222C1" w:rsidRDefault="00ED43C2" w:rsidP="00EB7C0D">
            <w:pPr>
              <w:spacing w:after="0" w:line="240" w:lineRule="auto"/>
              <w:jc w:val="center"/>
              <w:rPr>
                <w:rFonts w:ascii="Verdana" w:eastAsia="Times New Roman" w:hAnsi="Verdana" w:cs="Calibri"/>
                <w:b/>
                <w:bCs/>
                <w:color w:val="FF0000"/>
                <w:sz w:val="16"/>
                <w:szCs w:val="16"/>
                <w:lang w:eastAsia="es-ES"/>
              </w:rPr>
            </w:pPr>
            <w:r w:rsidRPr="00C222C1">
              <w:rPr>
                <w:rFonts w:ascii="Verdana" w:eastAsia="Times New Roman" w:hAnsi="Verdana" w:cs="Calibri"/>
                <w:b/>
                <w:bCs/>
                <w:color w:val="FF0000"/>
                <w:sz w:val="16"/>
                <w:szCs w:val="16"/>
                <w:lang w:val="es-ES_tradnl" w:eastAsia="es-ES"/>
              </w:rPr>
              <w:t>ACCIÓN PRINCIPAL EJERCITADA EN LA DEMANDA</w:t>
            </w:r>
          </w:p>
        </w:tc>
        <w:tc>
          <w:tcPr>
            <w:tcW w:w="4045" w:type="dxa"/>
            <w:gridSpan w:val="3"/>
            <w:tcBorders>
              <w:top w:val="double" w:sz="6" w:space="0" w:color="auto"/>
              <w:left w:val="nil"/>
              <w:bottom w:val="double" w:sz="6" w:space="0" w:color="auto"/>
              <w:right w:val="double" w:sz="6" w:space="0" w:color="000000"/>
            </w:tcBorders>
            <w:shd w:val="clear" w:color="000000" w:fill="D9D9D9"/>
            <w:vAlign w:val="center"/>
            <w:hideMark/>
          </w:tcPr>
          <w:p w14:paraId="59EE727E" w14:textId="77777777" w:rsidR="00ED43C2" w:rsidRPr="00C222C1" w:rsidRDefault="00ED43C2" w:rsidP="00EB7C0D">
            <w:pPr>
              <w:spacing w:after="0" w:line="240" w:lineRule="auto"/>
              <w:jc w:val="center"/>
              <w:rPr>
                <w:rFonts w:ascii="Arial" w:eastAsia="Times New Roman" w:hAnsi="Arial" w:cs="Arial"/>
                <w:b/>
                <w:bCs/>
                <w:color w:val="FF0000"/>
                <w:sz w:val="20"/>
                <w:szCs w:val="20"/>
                <w:lang w:eastAsia="es-ES"/>
              </w:rPr>
            </w:pPr>
            <w:r w:rsidRPr="00C222C1">
              <w:rPr>
                <w:rFonts w:ascii="Arial" w:eastAsia="Times New Roman" w:hAnsi="Arial" w:cs="Arial"/>
                <w:b/>
                <w:bCs/>
                <w:color w:val="FF0000"/>
                <w:sz w:val="20"/>
                <w:szCs w:val="20"/>
                <w:lang w:val="es-ES_tradnl" w:eastAsia="es-ES"/>
              </w:rPr>
              <w:t xml:space="preserve">Vivienda </w:t>
            </w:r>
          </w:p>
        </w:tc>
        <w:tc>
          <w:tcPr>
            <w:tcW w:w="4008" w:type="dxa"/>
            <w:gridSpan w:val="3"/>
            <w:tcBorders>
              <w:top w:val="double" w:sz="6" w:space="0" w:color="auto"/>
              <w:left w:val="nil"/>
              <w:bottom w:val="double" w:sz="6" w:space="0" w:color="auto"/>
              <w:right w:val="double" w:sz="6" w:space="0" w:color="000000"/>
            </w:tcBorders>
            <w:shd w:val="clear" w:color="000000" w:fill="D9D9D9"/>
            <w:vAlign w:val="center"/>
            <w:hideMark/>
          </w:tcPr>
          <w:p w14:paraId="2BAB3F2A" w14:textId="77777777" w:rsidR="00ED43C2" w:rsidRPr="00C222C1" w:rsidRDefault="00ED43C2" w:rsidP="00EB7C0D">
            <w:pPr>
              <w:spacing w:after="0" w:line="240" w:lineRule="auto"/>
              <w:jc w:val="center"/>
              <w:rPr>
                <w:rFonts w:ascii="Arial" w:eastAsia="Times New Roman" w:hAnsi="Arial" w:cs="Arial"/>
                <w:b/>
                <w:bCs/>
                <w:color w:val="FF0000"/>
                <w:sz w:val="20"/>
                <w:szCs w:val="20"/>
                <w:lang w:eastAsia="es-ES"/>
              </w:rPr>
            </w:pPr>
            <w:r w:rsidRPr="00C222C1">
              <w:rPr>
                <w:rFonts w:ascii="Arial" w:eastAsia="Times New Roman" w:hAnsi="Arial" w:cs="Arial"/>
                <w:b/>
                <w:bCs/>
                <w:color w:val="FF0000"/>
                <w:sz w:val="20"/>
                <w:szCs w:val="20"/>
                <w:lang w:eastAsia="es-ES"/>
              </w:rPr>
              <w:t>Uso distinto a vivienda</w:t>
            </w:r>
          </w:p>
        </w:tc>
        <w:tc>
          <w:tcPr>
            <w:tcW w:w="727" w:type="dxa"/>
            <w:vMerge w:val="restart"/>
            <w:tcBorders>
              <w:top w:val="double" w:sz="6" w:space="0" w:color="auto"/>
              <w:left w:val="nil"/>
              <w:bottom w:val="double" w:sz="6" w:space="0" w:color="000000"/>
              <w:right w:val="double" w:sz="6" w:space="0" w:color="auto"/>
            </w:tcBorders>
            <w:shd w:val="clear" w:color="000000" w:fill="D9D9D9"/>
            <w:vAlign w:val="center"/>
            <w:hideMark/>
          </w:tcPr>
          <w:p w14:paraId="63A2FD9B" w14:textId="77777777" w:rsidR="00ED43C2" w:rsidRPr="00C222C1" w:rsidRDefault="00ED43C2" w:rsidP="00EB7C0D">
            <w:pPr>
              <w:spacing w:after="0" w:line="240" w:lineRule="auto"/>
              <w:jc w:val="center"/>
              <w:rPr>
                <w:rFonts w:ascii="Verdana" w:eastAsia="Times New Roman" w:hAnsi="Verdana" w:cs="Calibri"/>
                <w:b/>
                <w:bCs/>
                <w:color w:val="FF0000"/>
                <w:sz w:val="16"/>
                <w:szCs w:val="16"/>
                <w:lang w:eastAsia="es-ES"/>
              </w:rPr>
            </w:pPr>
            <w:r w:rsidRPr="00C222C1">
              <w:rPr>
                <w:rFonts w:ascii="Verdana" w:eastAsia="Times New Roman" w:hAnsi="Verdana" w:cs="Calibri"/>
                <w:b/>
                <w:bCs/>
                <w:color w:val="FF0000"/>
                <w:sz w:val="16"/>
                <w:szCs w:val="16"/>
                <w:lang w:eastAsia="es-ES"/>
              </w:rPr>
              <w:t>TOTAL</w:t>
            </w:r>
          </w:p>
        </w:tc>
      </w:tr>
      <w:tr w:rsidR="00ED43C2" w:rsidRPr="00C222C1" w14:paraId="0404583C" w14:textId="77777777" w:rsidTr="003F19AE">
        <w:trPr>
          <w:trHeight w:val="731"/>
        </w:trPr>
        <w:tc>
          <w:tcPr>
            <w:tcW w:w="2047" w:type="dxa"/>
            <w:vMerge/>
            <w:tcBorders>
              <w:top w:val="double" w:sz="6" w:space="0" w:color="auto"/>
              <w:left w:val="double" w:sz="6" w:space="0" w:color="auto"/>
              <w:bottom w:val="double" w:sz="6" w:space="0" w:color="000000"/>
              <w:right w:val="single" w:sz="8" w:space="0" w:color="auto"/>
            </w:tcBorders>
            <w:vAlign w:val="center"/>
            <w:hideMark/>
          </w:tcPr>
          <w:p w14:paraId="26F574D0" w14:textId="77777777" w:rsidR="00ED43C2" w:rsidRPr="00C222C1" w:rsidRDefault="00ED43C2" w:rsidP="00EB7C0D">
            <w:pPr>
              <w:spacing w:after="0" w:line="240" w:lineRule="auto"/>
              <w:rPr>
                <w:rFonts w:ascii="Verdana" w:eastAsia="Times New Roman" w:hAnsi="Verdana" w:cs="Calibri"/>
                <w:b/>
                <w:bCs/>
                <w:color w:val="FF0000"/>
                <w:sz w:val="16"/>
                <w:szCs w:val="16"/>
                <w:lang w:eastAsia="es-ES"/>
              </w:rPr>
            </w:pPr>
          </w:p>
        </w:tc>
        <w:tc>
          <w:tcPr>
            <w:tcW w:w="1163" w:type="dxa"/>
            <w:tcBorders>
              <w:top w:val="nil"/>
              <w:left w:val="nil"/>
              <w:bottom w:val="double" w:sz="6" w:space="0" w:color="auto"/>
              <w:right w:val="single" w:sz="8" w:space="0" w:color="auto"/>
            </w:tcBorders>
            <w:shd w:val="clear" w:color="000000" w:fill="D9D9D9"/>
            <w:vAlign w:val="center"/>
            <w:hideMark/>
          </w:tcPr>
          <w:p w14:paraId="318F0FC7" w14:textId="77777777" w:rsidR="00ED43C2" w:rsidRPr="00C222C1" w:rsidRDefault="00ED43C2" w:rsidP="00EB7C0D">
            <w:pPr>
              <w:spacing w:after="0" w:line="240" w:lineRule="auto"/>
              <w:jc w:val="center"/>
              <w:rPr>
                <w:rFonts w:ascii="Arial" w:eastAsia="Times New Roman" w:hAnsi="Arial" w:cs="Arial"/>
                <w:b/>
                <w:bCs/>
                <w:color w:val="FF0000"/>
                <w:sz w:val="20"/>
                <w:szCs w:val="20"/>
                <w:lang w:eastAsia="es-ES"/>
              </w:rPr>
            </w:pPr>
            <w:r w:rsidRPr="00C222C1">
              <w:rPr>
                <w:rFonts w:ascii="Arial" w:eastAsia="Times New Roman" w:hAnsi="Arial" w:cs="Arial"/>
                <w:b/>
                <w:bCs/>
                <w:color w:val="FF0000"/>
                <w:sz w:val="20"/>
                <w:szCs w:val="20"/>
                <w:lang w:val="es-ES_tradnl" w:eastAsia="es-ES"/>
              </w:rPr>
              <w:t>Estimando la demanda totalmente</w:t>
            </w:r>
          </w:p>
        </w:tc>
        <w:tc>
          <w:tcPr>
            <w:tcW w:w="1374" w:type="dxa"/>
            <w:tcBorders>
              <w:top w:val="nil"/>
              <w:left w:val="nil"/>
              <w:bottom w:val="double" w:sz="6" w:space="0" w:color="auto"/>
              <w:right w:val="double" w:sz="6" w:space="0" w:color="auto"/>
            </w:tcBorders>
            <w:shd w:val="clear" w:color="000000" w:fill="D9D9D9"/>
            <w:vAlign w:val="center"/>
            <w:hideMark/>
          </w:tcPr>
          <w:p w14:paraId="585D1251" w14:textId="77777777" w:rsidR="00ED43C2" w:rsidRPr="00C222C1" w:rsidRDefault="00ED43C2" w:rsidP="00EB7C0D">
            <w:pPr>
              <w:spacing w:after="0" w:line="240" w:lineRule="auto"/>
              <w:jc w:val="center"/>
              <w:rPr>
                <w:rFonts w:ascii="Arial" w:eastAsia="Times New Roman" w:hAnsi="Arial" w:cs="Arial"/>
                <w:b/>
                <w:bCs/>
                <w:color w:val="FF0000"/>
                <w:sz w:val="20"/>
                <w:szCs w:val="20"/>
                <w:lang w:eastAsia="es-ES"/>
              </w:rPr>
            </w:pPr>
            <w:r w:rsidRPr="00C222C1">
              <w:rPr>
                <w:rFonts w:ascii="Arial" w:eastAsia="Times New Roman" w:hAnsi="Arial" w:cs="Arial"/>
                <w:b/>
                <w:bCs/>
                <w:color w:val="FF0000"/>
                <w:sz w:val="20"/>
                <w:szCs w:val="20"/>
                <w:lang w:val="es-ES_tradnl" w:eastAsia="es-ES"/>
              </w:rPr>
              <w:t>Estimando la demanda parcialmente</w:t>
            </w:r>
          </w:p>
        </w:tc>
        <w:tc>
          <w:tcPr>
            <w:tcW w:w="1508" w:type="dxa"/>
            <w:tcBorders>
              <w:top w:val="nil"/>
              <w:left w:val="nil"/>
              <w:bottom w:val="double" w:sz="6" w:space="0" w:color="auto"/>
              <w:right w:val="double" w:sz="6" w:space="0" w:color="auto"/>
            </w:tcBorders>
            <w:shd w:val="clear" w:color="000000" w:fill="D9D9D9"/>
            <w:vAlign w:val="center"/>
            <w:hideMark/>
          </w:tcPr>
          <w:p w14:paraId="0594A324" w14:textId="77777777" w:rsidR="00ED43C2" w:rsidRPr="00C222C1" w:rsidRDefault="00ED43C2" w:rsidP="00EB7C0D">
            <w:pPr>
              <w:spacing w:after="0" w:line="240" w:lineRule="auto"/>
              <w:jc w:val="center"/>
              <w:rPr>
                <w:rFonts w:ascii="Arial" w:eastAsia="Times New Roman" w:hAnsi="Arial" w:cs="Arial"/>
                <w:b/>
                <w:bCs/>
                <w:color w:val="FF0000"/>
                <w:sz w:val="20"/>
                <w:szCs w:val="20"/>
                <w:lang w:eastAsia="es-ES"/>
              </w:rPr>
            </w:pPr>
            <w:r w:rsidRPr="00C222C1">
              <w:rPr>
                <w:rFonts w:ascii="Arial" w:eastAsia="Times New Roman" w:hAnsi="Arial" w:cs="Arial"/>
                <w:b/>
                <w:bCs/>
                <w:color w:val="FF0000"/>
                <w:sz w:val="20"/>
                <w:szCs w:val="20"/>
                <w:lang w:val="es-ES_tradnl" w:eastAsia="es-ES"/>
              </w:rPr>
              <w:t>Desestimando la demanda</w:t>
            </w:r>
          </w:p>
        </w:tc>
        <w:tc>
          <w:tcPr>
            <w:tcW w:w="1126" w:type="dxa"/>
            <w:tcBorders>
              <w:top w:val="nil"/>
              <w:left w:val="nil"/>
              <w:bottom w:val="double" w:sz="6" w:space="0" w:color="auto"/>
              <w:right w:val="single" w:sz="8" w:space="0" w:color="auto"/>
            </w:tcBorders>
            <w:shd w:val="clear" w:color="000000" w:fill="D9D9D9"/>
            <w:vAlign w:val="center"/>
            <w:hideMark/>
          </w:tcPr>
          <w:p w14:paraId="32435D44" w14:textId="77777777" w:rsidR="00ED43C2" w:rsidRPr="00C222C1" w:rsidRDefault="00ED43C2" w:rsidP="00EB7C0D">
            <w:pPr>
              <w:spacing w:after="0" w:line="240" w:lineRule="auto"/>
              <w:jc w:val="center"/>
              <w:rPr>
                <w:rFonts w:ascii="Verdana" w:eastAsia="Times New Roman" w:hAnsi="Verdana" w:cs="Calibri"/>
                <w:b/>
                <w:bCs/>
                <w:color w:val="FF0000"/>
                <w:sz w:val="16"/>
                <w:szCs w:val="16"/>
                <w:lang w:eastAsia="es-ES"/>
              </w:rPr>
            </w:pPr>
            <w:r w:rsidRPr="00C222C1">
              <w:rPr>
                <w:rFonts w:ascii="Verdana" w:eastAsia="Times New Roman" w:hAnsi="Verdana" w:cs="Calibri"/>
                <w:b/>
                <w:bCs/>
                <w:color w:val="FF0000"/>
                <w:sz w:val="16"/>
                <w:szCs w:val="16"/>
                <w:lang w:val="es-ES_tradnl" w:eastAsia="es-ES"/>
              </w:rPr>
              <w:t>Estimando la demanda totalmente</w:t>
            </w:r>
          </w:p>
        </w:tc>
        <w:tc>
          <w:tcPr>
            <w:tcW w:w="1374" w:type="dxa"/>
            <w:tcBorders>
              <w:top w:val="nil"/>
              <w:left w:val="nil"/>
              <w:bottom w:val="double" w:sz="6" w:space="0" w:color="auto"/>
              <w:right w:val="single" w:sz="8" w:space="0" w:color="auto"/>
            </w:tcBorders>
            <w:shd w:val="clear" w:color="000000" w:fill="D9D9D9"/>
            <w:vAlign w:val="center"/>
            <w:hideMark/>
          </w:tcPr>
          <w:p w14:paraId="5D5DD497" w14:textId="77777777" w:rsidR="00ED43C2" w:rsidRPr="00C222C1" w:rsidRDefault="00ED43C2" w:rsidP="00EB7C0D">
            <w:pPr>
              <w:spacing w:after="0" w:line="240" w:lineRule="auto"/>
              <w:jc w:val="center"/>
              <w:rPr>
                <w:rFonts w:ascii="Arial" w:eastAsia="Times New Roman" w:hAnsi="Arial" w:cs="Arial"/>
                <w:b/>
                <w:bCs/>
                <w:color w:val="FF0000"/>
                <w:sz w:val="20"/>
                <w:szCs w:val="20"/>
                <w:lang w:eastAsia="es-ES"/>
              </w:rPr>
            </w:pPr>
            <w:r w:rsidRPr="00C222C1">
              <w:rPr>
                <w:rFonts w:ascii="Arial" w:eastAsia="Times New Roman" w:hAnsi="Arial" w:cs="Arial"/>
                <w:b/>
                <w:bCs/>
                <w:color w:val="FF0000"/>
                <w:sz w:val="20"/>
                <w:szCs w:val="20"/>
                <w:lang w:val="es-ES_tradnl" w:eastAsia="es-ES"/>
              </w:rPr>
              <w:t>Estimando la demanda parcialmente</w:t>
            </w:r>
          </w:p>
        </w:tc>
        <w:tc>
          <w:tcPr>
            <w:tcW w:w="1508" w:type="dxa"/>
            <w:tcBorders>
              <w:top w:val="nil"/>
              <w:left w:val="nil"/>
              <w:bottom w:val="double" w:sz="6" w:space="0" w:color="auto"/>
              <w:right w:val="double" w:sz="6" w:space="0" w:color="auto"/>
            </w:tcBorders>
            <w:shd w:val="clear" w:color="000000" w:fill="D9D9D9"/>
            <w:vAlign w:val="center"/>
            <w:hideMark/>
          </w:tcPr>
          <w:p w14:paraId="73B18B5B" w14:textId="77777777" w:rsidR="00ED43C2" w:rsidRPr="00C222C1" w:rsidRDefault="00ED43C2" w:rsidP="00EB7C0D">
            <w:pPr>
              <w:spacing w:after="0" w:line="240" w:lineRule="auto"/>
              <w:jc w:val="center"/>
              <w:rPr>
                <w:rFonts w:ascii="Arial" w:eastAsia="Times New Roman" w:hAnsi="Arial" w:cs="Arial"/>
                <w:b/>
                <w:bCs/>
                <w:color w:val="FF0000"/>
                <w:sz w:val="20"/>
                <w:szCs w:val="20"/>
                <w:lang w:eastAsia="es-ES"/>
              </w:rPr>
            </w:pPr>
            <w:r w:rsidRPr="00C222C1">
              <w:rPr>
                <w:rFonts w:ascii="Arial" w:eastAsia="Times New Roman" w:hAnsi="Arial" w:cs="Arial"/>
                <w:b/>
                <w:bCs/>
                <w:color w:val="FF0000"/>
                <w:sz w:val="20"/>
                <w:szCs w:val="20"/>
                <w:lang w:val="es-ES_tradnl" w:eastAsia="es-ES"/>
              </w:rPr>
              <w:t>Desestimando la demanda</w:t>
            </w:r>
          </w:p>
        </w:tc>
        <w:tc>
          <w:tcPr>
            <w:tcW w:w="727" w:type="dxa"/>
            <w:vMerge/>
            <w:tcBorders>
              <w:top w:val="double" w:sz="6" w:space="0" w:color="auto"/>
              <w:left w:val="nil"/>
              <w:bottom w:val="double" w:sz="6" w:space="0" w:color="000000"/>
              <w:right w:val="double" w:sz="6" w:space="0" w:color="auto"/>
            </w:tcBorders>
            <w:vAlign w:val="center"/>
            <w:hideMark/>
          </w:tcPr>
          <w:p w14:paraId="7D3C0E7A" w14:textId="77777777" w:rsidR="00ED43C2" w:rsidRPr="00C222C1" w:rsidRDefault="00ED43C2" w:rsidP="00EB7C0D">
            <w:pPr>
              <w:spacing w:after="0" w:line="240" w:lineRule="auto"/>
              <w:rPr>
                <w:rFonts w:ascii="Verdana" w:eastAsia="Times New Roman" w:hAnsi="Verdana" w:cs="Calibri"/>
                <w:b/>
                <w:bCs/>
                <w:color w:val="FF0000"/>
                <w:sz w:val="16"/>
                <w:szCs w:val="16"/>
                <w:lang w:eastAsia="es-ES"/>
              </w:rPr>
            </w:pPr>
          </w:p>
        </w:tc>
      </w:tr>
      <w:tr w:rsidR="00ED43C2" w:rsidRPr="00C222C1" w14:paraId="5ADFD9F8" w14:textId="77777777" w:rsidTr="003F19AE">
        <w:trPr>
          <w:trHeight w:val="554"/>
        </w:trPr>
        <w:tc>
          <w:tcPr>
            <w:tcW w:w="2047" w:type="dxa"/>
            <w:tcBorders>
              <w:top w:val="nil"/>
              <w:left w:val="double" w:sz="6" w:space="0" w:color="auto"/>
              <w:bottom w:val="single" w:sz="8" w:space="0" w:color="auto"/>
              <w:right w:val="single" w:sz="8" w:space="0" w:color="auto"/>
            </w:tcBorders>
            <w:shd w:val="clear" w:color="000000" w:fill="D9D9D9"/>
            <w:vAlign w:val="center"/>
            <w:hideMark/>
          </w:tcPr>
          <w:p w14:paraId="35B9974A" w14:textId="77777777" w:rsidR="00ED43C2" w:rsidRPr="00C222C1" w:rsidRDefault="00ED43C2" w:rsidP="00EB7C0D">
            <w:pPr>
              <w:spacing w:after="0" w:line="240" w:lineRule="auto"/>
              <w:rPr>
                <w:rFonts w:ascii="Verdana" w:eastAsia="Times New Roman" w:hAnsi="Verdana" w:cs="Calibri"/>
                <w:b/>
                <w:bCs/>
                <w:color w:val="FF0000"/>
                <w:sz w:val="16"/>
                <w:szCs w:val="16"/>
                <w:lang w:eastAsia="es-ES"/>
              </w:rPr>
            </w:pPr>
            <w:r w:rsidRPr="00C222C1">
              <w:rPr>
                <w:rFonts w:ascii="Verdana" w:eastAsia="Times New Roman" w:hAnsi="Verdana" w:cs="Calibri"/>
                <w:b/>
                <w:bCs/>
                <w:color w:val="FF0000"/>
                <w:sz w:val="16"/>
                <w:szCs w:val="16"/>
                <w:lang w:val="es-ES_tradnl" w:eastAsia="es-ES"/>
              </w:rPr>
              <w:t>Falta de pago de la renta o de cantidades que se asimilan (incluido fianzas)</w:t>
            </w:r>
          </w:p>
        </w:tc>
        <w:tc>
          <w:tcPr>
            <w:tcW w:w="1163" w:type="dxa"/>
            <w:tcBorders>
              <w:top w:val="nil"/>
              <w:left w:val="nil"/>
              <w:bottom w:val="single" w:sz="8" w:space="0" w:color="auto"/>
              <w:right w:val="single" w:sz="8" w:space="0" w:color="auto"/>
            </w:tcBorders>
            <w:shd w:val="clear" w:color="auto" w:fill="auto"/>
            <w:noWrap/>
            <w:vAlign w:val="center"/>
            <w:hideMark/>
          </w:tcPr>
          <w:p w14:paraId="2BEDD324"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single" w:sz="8" w:space="0" w:color="auto"/>
              <w:right w:val="single" w:sz="8" w:space="0" w:color="auto"/>
            </w:tcBorders>
            <w:shd w:val="clear" w:color="auto" w:fill="auto"/>
            <w:noWrap/>
            <w:vAlign w:val="center"/>
            <w:hideMark/>
          </w:tcPr>
          <w:p w14:paraId="5DC9DD13"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single" w:sz="8" w:space="0" w:color="auto"/>
              <w:right w:val="single" w:sz="8" w:space="0" w:color="auto"/>
            </w:tcBorders>
            <w:shd w:val="clear" w:color="auto" w:fill="auto"/>
            <w:noWrap/>
            <w:vAlign w:val="center"/>
            <w:hideMark/>
          </w:tcPr>
          <w:p w14:paraId="2433094E"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126" w:type="dxa"/>
            <w:tcBorders>
              <w:top w:val="nil"/>
              <w:left w:val="nil"/>
              <w:bottom w:val="single" w:sz="8" w:space="0" w:color="auto"/>
              <w:right w:val="single" w:sz="8" w:space="0" w:color="auto"/>
            </w:tcBorders>
            <w:shd w:val="clear" w:color="auto" w:fill="auto"/>
            <w:noWrap/>
            <w:vAlign w:val="center"/>
            <w:hideMark/>
          </w:tcPr>
          <w:p w14:paraId="54F8C249"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single" w:sz="8" w:space="0" w:color="auto"/>
              <w:right w:val="single" w:sz="8" w:space="0" w:color="auto"/>
            </w:tcBorders>
            <w:shd w:val="clear" w:color="auto" w:fill="auto"/>
            <w:noWrap/>
            <w:vAlign w:val="center"/>
            <w:hideMark/>
          </w:tcPr>
          <w:p w14:paraId="66425943"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single" w:sz="8" w:space="0" w:color="auto"/>
              <w:right w:val="single" w:sz="8" w:space="0" w:color="auto"/>
            </w:tcBorders>
            <w:shd w:val="clear" w:color="auto" w:fill="auto"/>
            <w:noWrap/>
            <w:vAlign w:val="center"/>
            <w:hideMark/>
          </w:tcPr>
          <w:p w14:paraId="1A674B04"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727" w:type="dxa"/>
            <w:tcBorders>
              <w:top w:val="nil"/>
              <w:left w:val="nil"/>
              <w:bottom w:val="single" w:sz="8" w:space="0" w:color="auto"/>
              <w:right w:val="double" w:sz="6" w:space="0" w:color="auto"/>
            </w:tcBorders>
            <w:shd w:val="clear" w:color="auto" w:fill="auto"/>
            <w:noWrap/>
            <w:vAlign w:val="center"/>
            <w:hideMark/>
          </w:tcPr>
          <w:p w14:paraId="07B58C9B" w14:textId="77777777" w:rsidR="00ED43C2" w:rsidRPr="00C222C1" w:rsidRDefault="00ED43C2" w:rsidP="00EB7C0D">
            <w:pPr>
              <w:spacing w:after="0" w:line="240" w:lineRule="auto"/>
              <w:rPr>
                <w:rFonts w:ascii="Calibri" w:eastAsia="Times New Roman" w:hAnsi="Calibri" w:cs="Calibri"/>
                <w:color w:val="FF0000"/>
                <w:lang w:eastAsia="es-ES"/>
              </w:rPr>
            </w:pPr>
            <w:r w:rsidRPr="00C222C1">
              <w:rPr>
                <w:rFonts w:ascii="Calibri" w:eastAsia="Times New Roman" w:hAnsi="Calibri" w:cs="Calibri"/>
                <w:color w:val="FF0000"/>
                <w:lang w:eastAsia="es-ES"/>
              </w:rPr>
              <w:t> </w:t>
            </w:r>
          </w:p>
        </w:tc>
      </w:tr>
      <w:tr w:rsidR="00ED43C2" w:rsidRPr="00C222C1" w14:paraId="78AB91E0" w14:textId="77777777" w:rsidTr="003F19AE">
        <w:trPr>
          <w:trHeight w:val="365"/>
        </w:trPr>
        <w:tc>
          <w:tcPr>
            <w:tcW w:w="2047" w:type="dxa"/>
            <w:tcBorders>
              <w:top w:val="nil"/>
              <w:left w:val="double" w:sz="6" w:space="0" w:color="auto"/>
              <w:bottom w:val="single" w:sz="8" w:space="0" w:color="auto"/>
              <w:right w:val="single" w:sz="8" w:space="0" w:color="auto"/>
            </w:tcBorders>
            <w:shd w:val="clear" w:color="000000" w:fill="D9D9D9"/>
            <w:vAlign w:val="center"/>
            <w:hideMark/>
          </w:tcPr>
          <w:p w14:paraId="58B9D9C1" w14:textId="77777777" w:rsidR="00ED43C2" w:rsidRPr="00C222C1" w:rsidRDefault="00ED43C2" w:rsidP="00EB7C0D">
            <w:pPr>
              <w:spacing w:after="0" w:line="240" w:lineRule="auto"/>
              <w:rPr>
                <w:rFonts w:ascii="Verdana" w:eastAsia="Times New Roman" w:hAnsi="Verdana" w:cs="Calibri"/>
                <w:b/>
                <w:bCs/>
                <w:color w:val="FF0000"/>
                <w:sz w:val="16"/>
                <w:szCs w:val="16"/>
                <w:lang w:eastAsia="es-ES"/>
              </w:rPr>
            </w:pPr>
            <w:r w:rsidRPr="00C222C1">
              <w:rPr>
                <w:rFonts w:ascii="Verdana" w:eastAsia="Times New Roman" w:hAnsi="Verdana" w:cs="Calibri"/>
                <w:b/>
                <w:bCs/>
                <w:color w:val="FF0000"/>
                <w:sz w:val="16"/>
                <w:szCs w:val="16"/>
                <w:lang w:val="es-ES_tradnl" w:eastAsia="es-ES"/>
              </w:rPr>
              <w:t xml:space="preserve">Subarriendo o cesión </w:t>
            </w:r>
            <w:proofErr w:type="spellStart"/>
            <w:r w:rsidRPr="00C222C1">
              <w:rPr>
                <w:rFonts w:ascii="Verdana" w:eastAsia="Times New Roman" w:hAnsi="Verdana" w:cs="Calibri"/>
                <w:b/>
                <w:bCs/>
                <w:color w:val="FF0000"/>
                <w:sz w:val="16"/>
                <w:szCs w:val="16"/>
                <w:lang w:val="es-ES_tradnl" w:eastAsia="es-ES"/>
              </w:rPr>
              <w:t>inconsentidos</w:t>
            </w:r>
            <w:proofErr w:type="spellEnd"/>
          </w:p>
        </w:tc>
        <w:tc>
          <w:tcPr>
            <w:tcW w:w="1163" w:type="dxa"/>
            <w:tcBorders>
              <w:top w:val="nil"/>
              <w:left w:val="nil"/>
              <w:bottom w:val="single" w:sz="8" w:space="0" w:color="auto"/>
              <w:right w:val="single" w:sz="8" w:space="0" w:color="auto"/>
            </w:tcBorders>
            <w:shd w:val="clear" w:color="auto" w:fill="auto"/>
            <w:noWrap/>
            <w:vAlign w:val="center"/>
            <w:hideMark/>
          </w:tcPr>
          <w:p w14:paraId="6CE3B912"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single" w:sz="8" w:space="0" w:color="auto"/>
              <w:right w:val="single" w:sz="8" w:space="0" w:color="auto"/>
            </w:tcBorders>
            <w:shd w:val="clear" w:color="auto" w:fill="auto"/>
            <w:noWrap/>
            <w:vAlign w:val="center"/>
            <w:hideMark/>
          </w:tcPr>
          <w:p w14:paraId="773FE052"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single" w:sz="8" w:space="0" w:color="auto"/>
              <w:right w:val="single" w:sz="8" w:space="0" w:color="auto"/>
            </w:tcBorders>
            <w:shd w:val="clear" w:color="auto" w:fill="auto"/>
            <w:noWrap/>
            <w:vAlign w:val="center"/>
            <w:hideMark/>
          </w:tcPr>
          <w:p w14:paraId="688DA27F"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126" w:type="dxa"/>
            <w:tcBorders>
              <w:top w:val="nil"/>
              <w:left w:val="nil"/>
              <w:bottom w:val="single" w:sz="8" w:space="0" w:color="auto"/>
              <w:right w:val="single" w:sz="8" w:space="0" w:color="auto"/>
            </w:tcBorders>
            <w:shd w:val="clear" w:color="auto" w:fill="auto"/>
            <w:noWrap/>
            <w:vAlign w:val="center"/>
            <w:hideMark/>
          </w:tcPr>
          <w:p w14:paraId="1C9FD3F5"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single" w:sz="8" w:space="0" w:color="auto"/>
              <w:right w:val="single" w:sz="8" w:space="0" w:color="auto"/>
            </w:tcBorders>
            <w:shd w:val="clear" w:color="auto" w:fill="auto"/>
            <w:noWrap/>
            <w:vAlign w:val="center"/>
            <w:hideMark/>
          </w:tcPr>
          <w:p w14:paraId="3A930E1C"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single" w:sz="8" w:space="0" w:color="auto"/>
              <w:right w:val="single" w:sz="8" w:space="0" w:color="auto"/>
            </w:tcBorders>
            <w:shd w:val="clear" w:color="auto" w:fill="auto"/>
            <w:noWrap/>
            <w:vAlign w:val="center"/>
            <w:hideMark/>
          </w:tcPr>
          <w:p w14:paraId="3691132D"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727" w:type="dxa"/>
            <w:tcBorders>
              <w:top w:val="nil"/>
              <w:left w:val="nil"/>
              <w:bottom w:val="single" w:sz="8" w:space="0" w:color="auto"/>
              <w:right w:val="double" w:sz="6" w:space="0" w:color="auto"/>
            </w:tcBorders>
            <w:shd w:val="clear" w:color="auto" w:fill="auto"/>
            <w:noWrap/>
            <w:vAlign w:val="center"/>
            <w:hideMark/>
          </w:tcPr>
          <w:p w14:paraId="7699785D" w14:textId="77777777" w:rsidR="00ED43C2" w:rsidRPr="00C222C1" w:rsidRDefault="00ED43C2" w:rsidP="00EB7C0D">
            <w:pPr>
              <w:spacing w:after="0" w:line="240" w:lineRule="auto"/>
              <w:rPr>
                <w:rFonts w:ascii="Calibri" w:eastAsia="Times New Roman" w:hAnsi="Calibri" w:cs="Calibri"/>
                <w:color w:val="FF0000"/>
                <w:lang w:eastAsia="es-ES"/>
              </w:rPr>
            </w:pPr>
            <w:r w:rsidRPr="00C222C1">
              <w:rPr>
                <w:rFonts w:ascii="Calibri" w:eastAsia="Times New Roman" w:hAnsi="Calibri" w:cs="Calibri"/>
                <w:color w:val="FF0000"/>
                <w:lang w:eastAsia="es-ES"/>
              </w:rPr>
              <w:t> </w:t>
            </w:r>
          </w:p>
        </w:tc>
      </w:tr>
      <w:tr w:rsidR="00ED43C2" w:rsidRPr="00C222C1" w14:paraId="0ECB7A81" w14:textId="77777777" w:rsidTr="003F19AE">
        <w:trPr>
          <w:trHeight w:val="719"/>
        </w:trPr>
        <w:tc>
          <w:tcPr>
            <w:tcW w:w="2047" w:type="dxa"/>
            <w:tcBorders>
              <w:top w:val="nil"/>
              <w:left w:val="double" w:sz="6" w:space="0" w:color="auto"/>
              <w:bottom w:val="single" w:sz="8" w:space="0" w:color="auto"/>
              <w:right w:val="single" w:sz="8" w:space="0" w:color="auto"/>
            </w:tcBorders>
            <w:shd w:val="clear" w:color="000000" w:fill="D9D9D9"/>
            <w:vAlign w:val="center"/>
            <w:hideMark/>
          </w:tcPr>
          <w:p w14:paraId="69083595" w14:textId="77777777" w:rsidR="00ED43C2" w:rsidRPr="00C222C1" w:rsidRDefault="00ED43C2" w:rsidP="00EB7C0D">
            <w:pPr>
              <w:spacing w:after="0" w:line="240" w:lineRule="auto"/>
              <w:rPr>
                <w:rFonts w:ascii="Verdana" w:eastAsia="Times New Roman" w:hAnsi="Verdana" w:cs="Calibri"/>
                <w:b/>
                <w:bCs/>
                <w:color w:val="FF0000"/>
                <w:sz w:val="16"/>
                <w:szCs w:val="16"/>
                <w:lang w:eastAsia="es-ES"/>
              </w:rPr>
            </w:pPr>
            <w:r w:rsidRPr="00C222C1">
              <w:rPr>
                <w:rFonts w:ascii="Verdana" w:eastAsia="Times New Roman" w:hAnsi="Verdana" w:cs="Calibri"/>
                <w:b/>
                <w:bCs/>
                <w:color w:val="FF0000"/>
                <w:sz w:val="16"/>
                <w:szCs w:val="16"/>
                <w:lang w:val="es-ES_tradnl" w:eastAsia="es-ES"/>
              </w:rPr>
              <w:t>Realización de actividades molestas, insalubres o peligrosas</w:t>
            </w:r>
          </w:p>
        </w:tc>
        <w:tc>
          <w:tcPr>
            <w:tcW w:w="1163" w:type="dxa"/>
            <w:tcBorders>
              <w:top w:val="nil"/>
              <w:left w:val="nil"/>
              <w:bottom w:val="single" w:sz="8" w:space="0" w:color="auto"/>
              <w:right w:val="single" w:sz="8" w:space="0" w:color="auto"/>
            </w:tcBorders>
            <w:shd w:val="clear" w:color="auto" w:fill="auto"/>
            <w:noWrap/>
            <w:vAlign w:val="center"/>
            <w:hideMark/>
          </w:tcPr>
          <w:p w14:paraId="7AFC9507"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single" w:sz="8" w:space="0" w:color="auto"/>
              <w:right w:val="single" w:sz="8" w:space="0" w:color="auto"/>
            </w:tcBorders>
            <w:shd w:val="clear" w:color="auto" w:fill="auto"/>
            <w:noWrap/>
            <w:vAlign w:val="center"/>
            <w:hideMark/>
          </w:tcPr>
          <w:p w14:paraId="46EE3011"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single" w:sz="8" w:space="0" w:color="auto"/>
              <w:right w:val="single" w:sz="8" w:space="0" w:color="auto"/>
            </w:tcBorders>
            <w:shd w:val="clear" w:color="auto" w:fill="auto"/>
            <w:noWrap/>
            <w:vAlign w:val="center"/>
            <w:hideMark/>
          </w:tcPr>
          <w:p w14:paraId="3AB6E633"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126" w:type="dxa"/>
            <w:tcBorders>
              <w:top w:val="nil"/>
              <w:left w:val="nil"/>
              <w:bottom w:val="single" w:sz="8" w:space="0" w:color="auto"/>
              <w:right w:val="single" w:sz="8" w:space="0" w:color="auto"/>
            </w:tcBorders>
            <w:shd w:val="clear" w:color="auto" w:fill="auto"/>
            <w:noWrap/>
            <w:vAlign w:val="center"/>
            <w:hideMark/>
          </w:tcPr>
          <w:p w14:paraId="15AA0D32"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single" w:sz="8" w:space="0" w:color="auto"/>
              <w:right w:val="single" w:sz="8" w:space="0" w:color="auto"/>
            </w:tcBorders>
            <w:shd w:val="clear" w:color="auto" w:fill="auto"/>
            <w:noWrap/>
            <w:vAlign w:val="center"/>
            <w:hideMark/>
          </w:tcPr>
          <w:p w14:paraId="37C8E266"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single" w:sz="8" w:space="0" w:color="auto"/>
              <w:right w:val="single" w:sz="8" w:space="0" w:color="auto"/>
            </w:tcBorders>
            <w:shd w:val="clear" w:color="auto" w:fill="auto"/>
            <w:noWrap/>
            <w:vAlign w:val="center"/>
            <w:hideMark/>
          </w:tcPr>
          <w:p w14:paraId="30A2357A"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727" w:type="dxa"/>
            <w:tcBorders>
              <w:top w:val="nil"/>
              <w:left w:val="nil"/>
              <w:bottom w:val="single" w:sz="8" w:space="0" w:color="auto"/>
              <w:right w:val="double" w:sz="6" w:space="0" w:color="auto"/>
            </w:tcBorders>
            <w:shd w:val="clear" w:color="auto" w:fill="auto"/>
            <w:noWrap/>
            <w:vAlign w:val="center"/>
            <w:hideMark/>
          </w:tcPr>
          <w:p w14:paraId="59EA5BAA" w14:textId="77777777" w:rsidR="00ED43C2" w:rsidRPr="00C222C1" w:rsidRDefault="00ED43C2" w:rsidP="00EB7C0D">
            <w:pPr>
              <w:spacing w:after="0" w:line="240" w:lineRule="auto"/>
              <w:rPr>
                <w:rFonts w:ascii="Calibri" w:eastAsia="Times New Roman" w:hAnsi="Calibri" w:cs="Calibri"/>
                <w:color w:val="FF0000"/>
                <w:lang w:eastAsia="es-ES"/>
              </w:rPr>
            </w:pPr>
            <w:r w:rsidRPr="00C222C1">
              <w:rPr>
                <w:rFonts w:ascii="Calibri" w:eastAsia="Times New Roman" w:hAnsi="Calibri" w:cs="Calibri"/>
                <w:color w:val="FF0000"/>
                <w:lang w:eastAsia="es-ES"/>
              </w:rPr>
              <w:t> </w:t>
            </w:r>
          </w:p>
        </w:tc>
      </w:tr>
      <w:tr w:rsidR="00ED43C2" w:rsidRPr="00C222C1" w14:paraId="1AE6E941" w14:textId="77777777" w:rsidTr="003F19AE">
        <w:trPr>
          <w:trHeight w:val="479"/>
        </w:trPr>
        <w:tc>
          <w:tcPr>
            <w:tcW w:w="2047" w:type="dxa"/>
            <w:tcBorders>
              <w:top w:val="nil"/>
              <w:left w:val="double" w:sz="6" w:space="0" w:color="auto"/>
              <w:bottom w:val="single" w:sz="8" w:space="0" w:color="auto"/>
              <w:right w:val="single" w:sz="8" w:space="0" w:color="auto"/>
            </w:tcBorders>
            <w:shd w:val="clear" w:color="000000" w:fill="D9D9D9"/>
            <w:vAlign w:val="center"/>
            <w:hideMark/>
          </w:tcPr>
          <w:p w14:paraId="2F275000" w14:textId="77777777" w:rsidR="00ED43C2" w:rsidRPr="00C222C1" w:rsidRDefault="00ED43C2" w:rsidP="00EB7C0D">
            <w:pPr>
              <w:spacing w:after="0" w:line="240" w:lineRule="auto"/>
              <w:rPr>
                <w:rFonts w:ascii="Verdana" w:eastAsia="Times New Roman" w:hAnsi="Verdana" w:cs="Calibri"/>
                <w:b/>
                <w:bCs/>
                <w:color w:val="FF0000"/>
                <w:sz w:val="16"/>
                <w:szCs w:val="16"/>
                <w:lang w:eastAsia="es-ES"/>
              </w:rPr>
            </w:pPr>
            <w:r w:rsidRPr="00C222C1">
              <w:rPr>
                <w:rFonts w:ascii="Verdana" w:eastAsia="Times New Roman" w:hAnsi="Verdana" w:cs="Calibri"/>
                <w:b/>
                <w:bCs/>
                <w:color w:val="FF0000"/>
                <w:sz w:val="16"/>
                <w:szCs w:val="16"/>
                <w:lang w:val="es-ES_tradnl" w:eastAsia="es-ES"/>
              </w:rPr>
              <w:t>No uso como vivienda permanente</w:t>
            </w:r>
          </w:p>
        </w:tc>
        <w:tc>
          <w:tcPr>
            <w:tcW w:w="1163" w:type="dxa"/>
            <w:tcBorders>
              <w:top w:val="nil"/>
              <w:left w:val="nil"/>
              <w:bottom w:val="single" w:sz="8" w:space="0" w:color="auto"/>
              <w:right w:val="single" w:sz="8" w:space="0" w:color="auto"/>
            </w:tcBorders>
            <w:shd w:val="clear" w:color="auto" w:fill="auto"/>
            <w:noWrap/>
            <w:vAlign w:val="center"/>
            <w:hideMark/>
          </w:tcPr>
          <w:p w14:paraId="1234DF21"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single" w:sz="8" w:space="0" w:color="auto"/>
              <w:right w:val="single" w:sz="8" w:space="0" w:color="auto"/>
            </w:tcBorders>
            <w:shd w:val="clear" w:color="auto" w:fill="auto"/>
            <w:noWrap/>
            <w:vAlign w:val="center"/>
            <w:hideMark/>
          </w:tcPr>
          <w:p w14:paraId="1160A146"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single" w:sz="8" w:space="0" w:color="auto"/>
              <w:right w:val="single" w:sz="8" w:space="0" w:color="auto"/>
            </w:tcBorders>
            <w:shd w:val="clear" w:color="auto" w:fill="auto"/>
            <w:noWrap/>
            <w:vAlign w:val="center"/>
            <w:hideMark/>
          </w:tcPr>
          <w:p w14:paraId="4317BB51"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126" w:type="dxa"/>
            <w:tcBorders>
              <w:top w:val="nil"/>
              <w:left w:val="nil"/>
              <w:bottom w:val="single" w:sz="8" w:space="0" w:color="auto"/>
              <w:right w:val="single" w:sz="8" w:space="0" w:color="auto"/>
            </w:tcBorders>
            <w:shd w:val="clear" w:color="auto" w:fill="AEAAAA" w:themeFill="background2" w:themeFillShade="BF"/>
            <w:noWrap/>
            <w:vAlign w:val="center"/>
            <w:hideMark/>
          </w:tcPr>
          <w:p w14:paraId="0079F7CF"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single" w:sz="8" w:space="0" w:color="auto"/>
              <w:right w:val="single" w:sz="8" w:space="0" w:color="auto"/>
            </w:tcBorders>
            <w:shd w:val="clear" w:color="auto" w:fill="AEAAAA" w:themeFill="background2" w:themeFillShade="BF"/>
            <w:noWrap/>
            <w:vAlign w:val="center"/>
            <w:hideMark/>
          </w:tcPr>
          <w:p w14:paraId="62246A75"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single" w:sz="8" w:space="0" w:color="auto"/>
              <w:right w:val="single" w:sz="8" w:space="0" w:color="auto"/>
            </w:tcBorders>
            <w:shd w:val="clear" w:color="auto" w:fill="AEAAAA" w:themeFill="background2" w:themeFillShade="BF"/>
            <w:noWrap/>
            <w:vAlign w:val="center"/>
            <w:hideMark/>
          </w:tcPr>
          <w:p w14:paraId="2A14F56E"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727" w:type="dxa"/>
            <w:tcBorders>
              <w:top w:val="nil"/>
              <w:left w:val="nil"/>
              <w:bottom w:val="single" w:sz="8" w:space="0" w:color="auto"/>
              <w:right w:val="double" w:sz="6" w:space="0" w:color="auto"/>
            </w:tcBorders>
            <w:shd w:val="clear" w:color="auto" w:fill="AEAAAA" w:themeFill="background2" w:themeFillShade="BF"/>
            <w:noWrap/>
            <w:vAlign w:val="center"/>
            <w:hideMark/>
          </w:tcPr>
          <w:p w14:paraId="0118439F" w14:textId="77777777" w:rsidR="00ED43C2" w:rsidRPr="00C222C1" w:rsidRDefault="00ED43C2" w:rsidP="00EB7C0D">
            <w:pPr>
              <w:spacing w:after="0" w:line="240" w:lineRule="auto"/>
              <w:rPr>
                <w:rFonts w:ascii="Calibri" w:eastAsia="Times New Roman" w:hAnsi="Calibri" w:cs="Calibri"/>
                <w:color w:val="FF0000"/>
                <w:lang w:eastAsia="es-ES"/>
              </w:rPr>
            </w:pPr>
            <w:r w:rsidRPr="00C222C1">
              <w:rPr>
                <w:rFonts w:ascii="Calibri" w:eastAsia="Times New Roman" w:hAnsi="Calibri" w:cs="Calibri"/>
                <w:color w:val="FF0000"/>
                <w:lang w:eastAsia="es-ES"/>
              </w:rPr>
              <w:t> </w:t>
            </w:r>
          </w:p>
        </w:tc>
      </w:tr>
      <w:tr w:rsidR="00ED43C2" w:rsidRPr="00C222C1" w14:paraId="317BCB7F" w14:textId="77777777" w:rsidTr="003F19AE">
        <w:trPr>
          <w:trHeight w:val="365"/>
        </w:trPr>
        <w:tc>
          <w:tcPr>
            <w:tcW w:w="2047" w:type="dxa"/>
            <w:tcBorders>
              <w:top w:val="nil"/>
              <w:left w:val="double" w:sz="6" w:space="0" w:color="auto"/>
              <w:bottom w:val="single" w:sz="8" w:space="0" w:color="auto"/>
              <w:right w:val="single" w:sz="8" w:space="0" w:color="auto"/>
            </w:tcBorders>
            <w:shd w:val="clear" w:color="000000" w:fill="D9D9D9"/>
            <w:vAlign w:val="center"/>
            <w:hideMark/>
          </w:tcPr>
          <w:p w14:paraId="278F28D3" w14:textId="77777777" w:rsidR="00ED43C2" w:rsidRPr="00C222C1" w:rsidRDefault="00ED43C2" w:rsidP="00EB7C0D">
            <w:pPr>
              <w:spacing w:after="0" w:line="240" w:lineRule="auto"/>
              <w:rPr>
                <w:rFonts w:ascii="Verdana" w:eastAsia="Times New Roman" w:hAnsi="Verdana" w:cs="Calibri"/>
                <w:b/>
                <w:bCs/>
                <w:color w:val="FF0000"/>
                <w:sz w:val="16"/>
                <w:szCs w:val="16"/>
                <w:lang w:eastAsia="es-ES"/>
              </w:rPr>
            </w:pPr>
            <w:r w:rsidRPr="00C222C1">
              <w:rPr>
                <w:rFonts w:ascii="Verdana" w:eastAsia="Times New Roman" w:hAnsi="Verdana" w:cs="Calibri"/>
                <w:b/>
                <w:bCs/>
                <w:color w:val="FF0000"/>
                <w:sz w:val="16"/>
                <w:szCs w:val="16"/>
                <w:lang w:val="es-ES_tradnl" w:eastAsia="es-ES"/>
              </w:rPr>
              <w:t>Realización de daños u obras no consentidas</w:t>
            </w:r>
          </w:p>
        </w:tc>
        <w:tc>
          <w:tcPr>
            <w:tcW w:w="1163" w:type="dxa"/>
            <w:tcBorders>
              <w:top w:val="nil"/>
              <w:left w:val="nil"/>
              <w:bottom w:val="single" w:sz="8" w:space="0" w:color="auto"/>
              <w:right w:val="single" w:sz="8" w:space="0" w:color="auto"/>
            </w:tcBorders>
            <w:shd w:val="clear" w:color="auto" w:fill="auto"/>
            <w:noWrap/>
            <w:vAlign w:val="center"/>
            <w:hideMark/>
          </w:tcPr>
          <w:p w14:paraId="3A1DED33"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single" w:sz="8" w:space="0" w:color="auto"/>
              <w:right w:val="single" w:sz="8" w:space="0" w:color="auto"/>
            </w:tcBorders>
            <w:shd w:val="clear" w:color="auto" w:fill="auto"/>
            <w:noWrap/>
            <w:vAlign w:val="center"/>
            <w:hideMark/>
          </w:tcPr>
          <w:p w14:paraId="292184C0"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single" w:sz="8" w:space="0" w:color="auto"/>
              <w:right w:val="single" w:sz="8" w:space="0" w:color="auto"/>
            </w:tcBorders>
            <w:shd w:val="clear" w:color="auto" w:fill="auto"/>
            <w:noWrap/>
            <w:vAlign w:val="center"/>
            <w:hideMark/>
          </w:tcPr>
          <w:p w14:paraId="05EE7300"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126" w:type="dxa"/>
            <w:tcBorders>
              <w:top w:val="nil"/>
              <w:left w:val="nil"/>
              <w:bottom w:val="single" w:sz="8" w:space="0" w:color="auto"/>
              <w:right w:val="single" w:sz="8" w:space="0" w:color="auto"/>
            </w:tcBorders>
            <w:shd w:val="clear" w:color="auto" w:fill="auto"/>
            <w:noWrap/>
            <w:vAlign w:val="center"/>
            <w:hideMark/>
          </w:tcPr>
          <w:p w14:paraId="27BE71C9"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single" w:sz="8" w:space="0" w:color="auto"/>
              <w:right w:val="single" w:sz="8" w:space="0" w:color="auto"/>
            </w:tcBorders>
            <w:shd w:val="clear" w:color="auto" w:fill="auto"/>
            <w:noWrap/>
            <w:vAlign w:val="center"/>
            <w:hideMark/>
          </w:tcPr>
          <w:p w14:paraId="501FFAFE"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single" w:sz="8" w:space="0" w:color="auto"/>
              <w:right w:val="single" w:sz="8" w:space="0" w:color="auto"/>
            </w:tcBorders>
            <w:shd w:val="clear" w:color="auto" w:fill="auto"/>
            <w:noWrap/>
            <w:vAlign w:val="center"/>
            <w:hideMark/>
          </w:tcPr>
          <w:p w14:paraId="75ECCD58"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727" w:type="dxa"/>
            <w:tcBorders>
              <w:top w:val="nil"/>
              <w:left w:val="nil"/>
              <w:bottom w:val="single" w:sz="8" w:space="0" w:color="auto"/>
              <w:right w:val="double" w:sz="6" w:space="0" w:color="auto"/>
            </w:tcBorders>
            <w:shd w:val="clear" w:color="auto" w:fill="auto"/>
            <w:noWrap/>
            <w:vAlign w:val="center"/>
            <w:hideMark/>
          </w:tcPr>
          <w:p w14:paraId="188E9877" w14:textId="77777777" w:rsidR="00ED43C2" w:rsidRPr="00C222C1" w:rsidRDefault="00ED43C2" w:rsidP="00EB7C0D">
            <w:pPr>
              <w:spacing w:after="0" w:line="240" w:lineRule="auto"/>
              <w:rPr>
                <w:rFonts w:ascii="Calibri" w:eastAsia="Times New Roman" w:hAnsi="Calibri" w:cs="Calibri"/>
                <w:color w:val="FF0000"/>
                <w:lang w:eastAsia="es-ES"/>
              </w:rPr>
            </w:pPr>
            <w:r w:rsidRPr="00C222C1">
              <w:rPr>
                <w:rFonts w:ascii="Calibri" w:eastAsia="Times New Roman" w:hAnsi="Calibri" w:cs="Calibri"/>
                <w:color w:val="FF0000"/>
                <w:lang w:eastAsia="es-ES"/>
              </w:rPr>
              <w:t> </w:t>
            </w:r>
          </w:p>
        </w:tc>
      </w:tr>
      <w:tr w:rsidR="00ED43C2" w:rsidRPr="00C222C1" w14:paraId="1881F9E0" w14:textId="77777777" w:rsidTr="003F19AE">
        <w:trPr>
          <w:trHeight w:val="265"/>
        </w:trPr>
        <w:tc>
          <w:tcPr>
            <w:tcW w:w="2047" w:type="dxa"/>
            <w:tcBorders>
              <w:top w:val="nil"/>
              <w:left w:val="double" w:sz="6" w:space="0" w:color="auto"/>
              <w:bottom w:val="single" w:sz="8" w:space="0" w:color="auto"/>
              <w:right w:val="single" w:sz="8" w:space="0" w:color="auto"/>
            </w:tcBorders>
            <w:shd w:val="clear" w:color="000000" w:fill="D9D9D9"/>
            <w:vAlign w:val="center"/>
            <w:hideMark/>
          </w:tcPr>
          <w:p w14:paraId="753A9ECD" w14:textId="77777777" w:rsidR="00ED43C2" w:rsidRPr="00C222C1" w:rsidRDefault="00ED43C2" w:rsidP="00EB7C0D">
            <w:pPr>
              <w:spacing w:after="0" w:line="240" w:lineRule="auto"/>
              <w:rPr>
                <w:rFonts w:ascii="Verdana" w:eastAsia="Times New Roman" w:hAnsi="Verdana" w:cs="Calibri"/>
                <w:b/>
                <w:bCs/>
                <w:color w:val="FF0000"/>
                <w:sz w:val="16"/>
                <w:szCs w:val="16"/>
                <w:lang w:eastAsia="es-ES"/>
              </w:rPr>
            </w:pPr>
            <w:r w:rsidRPr="00C222C1">
              <w:rPr>
                <w:rFonts w:ascii="Verdana" w:eastAsia="Times New Roman" w:hAnsi="Verdana" w:cs="Calibri"/>
                <w:b/>
                <w:bCs/>
                <w:color w:val="FF0000"/>
                <w:sz w:val="16"/>
                <w:szCs w:val="16"/>
                <w:lang w:val="es-ES_tradnl" w:eastAsia="es-ES"/>
              </w:rPr>
              <w:t>Denegación de prórroga</w:t>
            </w:r>
          </w:p>
        </w:tc>
        <w:tc>
          <w:tcPr>
            <w:tcW w:w="1163" w:type="dxa"/>
            <w:tcBorders>
              <w:top w:val="nil"/>
              <w:left w:val="nil"/>
              <w:bottom w:val="single" w:sz="8" w:space="0" w:color="auto"/>
              <w:right w:val="single" w:sz="8" w:space="0" w:color="auto"/>
            </w:tcBorders>
            <w:shd w:val="clear" w:color="auto" w:fill="auto"/>
            <w:noWrap/>
            <w:vAlign w:val="center"/>
            <w:hideMark/>
          </w:tcPr>
          <w:p w14:paraId="64EB0C3E"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single" w:sz="8" w:space="0" w:color="auto"/>
              <w:right w:val="single" w:sz="8" w:space="0" w:color="auto"/>
            </w:tcBorders>
            <w:shd w:val="clear" w:color="auto" w:fill="auto"/>
            <w:noWrap/>
            <w:vAlign w:val="center"/>
            <w:hideMark/>
          </w:tcPr>
          <w:p w14:paraId="28418469"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single" w:sz="8" w:space="0" w:color="auto"/>
              <w:right w:val="single" w:sz="8" w:space="0" w:color="auto"/>
            </w:tcBorders>
            <w:shd w:val="clear" w:color="auto" w:fill="auto"/>
            <w:noWrap/>
            <w:vAlign w:val="center"/>
            <w:hideMark/>
          </w:tcPr>
          <w:p w14:paraId="74817A78"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126" w:type="dxa"/>
            <w:tcBorders>
              <w:top w:val="nil"/>
              <w:left w:val="nil"/>
              <w:bottom w:val="single" w:sz="8" w:space="0" w:color="auto"/>
              <w:right w:val="single" w:sz="8" w:space="0" w:color="auto"/>
            </w:tcBorders>
            <w:shd w:val="clear" w:color="auto" w:fill="auto"/>
            <w:noWrap/>
            <w:vAlign w:val="center"/>
            <w:hideMark/>
          </w:tcPr>
          <w:p w14:paraId="264454FE"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single" w:sz="8" w:space="0" w:color="auto"/>
              <w:right w:val="single" w:sz="8" w:space="0" w:color="auto"/>
            </w:tcBorders>
            <w:shd w:val="clear" w:color="auto" w:fill="auto"/>
            <w:noWrap/>
            <w:vAlign w:val="center"/>
            <w:hideMark/>
          </w:tcPr>
          <w:p w14:paraId="267D5071"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single" w:sz="8" w:space="0" w:color="auto"/>
              <w:right w:val="single" w:sz="8" w:space="0" w:color="auto"/>
            </w:tcBorders>
            <w:shd w:val="clear" w:color="auto" w:fill="auto"/>
            <w:noWrap/>
            <w:vAlign w:val="center"/>
            <w:hideMark/>
          </w:tcPr>
          <w:p w14:paraId="3083D36C"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727" w:type="dxa"/>
            <w:tcBorders>
              <w:top w:val="nil"/>
              <w:left w:val="nil"/>
              <w:bottom w:val="single" w:sz="8" w:space="0" w:color="auto"/>
              <w:right w:val="double" w:sz="6" w:space="0" w:color="auto"/>
            </w:tcBorders>
            <w:shd w:val="clear" w:color="auto" w:fill="auto"/>
            <w:noWrap/>
            <w:vAlign w:val="center"/>
            <w:hideMark/>
          </w:tcPr>
          <w:p w14:paraId="4C529DF1" w14:textId="77777777" w:rsidR="00ED43C2" w:rsidRPr="00C222C1" w:rsidRDefault="00ED43C2" w:rsidP="00EB7C0D">
            <w:pPr>
              <w:spacing w:after="0" w:line="240" w:lineRule="auto"/>
              <w:rPr>
                <w:rFonts w:ascii="Calibri" w:eastAsia="Times New Roman" w:hAnsi="Calibri" w:cs="Calibri"/>
                <w:color w:val="FF0000"/>
                <w:lang w:eastAsia="es-ES"/>
              </w:rPr>
            </w:pPr>
            <w:r w:rsidRPr="00C222C1">
              <w:rPr>
                <w:rFonts w:ascii="Calibri" w:eastAsia="Times New Roman" w:hAnsi="Calibri" w:cs="Calibri"/>
                <w:color w:val="FF0000"/>
                <w:lang w:eastAsia="es-ES"/>
              </w:rPr>
              <w:t> </w:t>
            </w:r>
          </w:p>
        </w:tc>
      </w:tr>
      <w:tr w:rsidR="00ED43C2" w:rsidRPr="00C222C1" w14:paraId="396D6825" w14:textId="77777777" w:rsidTr="003F19AE">
        <w:trPr>
          <w:trHeight w:val="265"/>
        </w:trPr>
        <w:tc>
          <w:tcPr>
            <w:tcW w:w="2047" w:type="dxa"/>
            <w:tcBorders>
              <w:top w:val="nil"/>
              <w:left w:val="double" w:sz="6" w:space="0" w:color="auto"/>
              <w:bottom w:val="single" w:sz="8" w:space="0" w:color="auto"/>
              <w:right w:val="single" w:sz="8" w:space="0" w:color="auto"/>
            </w:tcBorders>
            <w:shd w:val="clear" w:color="000000" w:fill="D9D9D9"/>
            <w:vAlign w:val="center"/>
            <w:hideMark/>
          </w:tcPr>
          <w:p w14:paraId="4D5BB940" w14:textId="77777777" w:rsidR="00ED43C2" w:rsidRPr="00C222C1" w:rsidRDefault="00ED43C2" w:rsidP="00EB7C0D">
            <w:pPr>
              <w:spacing w:after="0" w:line="240" w:lineRule="auto"/>
              <w:rPr>
                <w:rFonts w:ascii="Verdana" w:eastAsia="Times New Roman" w:hAnsi="Verdana" w:cs="Calibri"/>
                <w:b/>
                <w:bCs/>
                <w:color w:val="FF0000"/>
                <w:sz w:val="16"/>
                <w:szCs w:val="16"/>
                <w:lang w:eastAsia="es-ES"/>
              </w:rPr>
            </w:pPr>
            <w:r w:rsidRPr="00C222C1">
              <w:rPr>
                <w:rFonts w:ascii="Verdana" w:eastAsia="Times New Roman" w:hAnsi="Verdana" w:cs="Calibri"/>
                <w:b/>
                <w:bCs/>
                <w:color w:val="FF0000"/>
                <w:sz w:val="16"/>
                <w:szCs w:val="16"/>
                <w:lang w:val="es-ES_tradnl" w:eastAsia="es-ES"/>
              </w:rPr>
              <w:t>Otros</w:t>
            </w:r>
          </w:p>
        </w:tc>
        <w:tc>
          <w:tcPr>
            <w:tcW w:w="1163" w:type="dxa"/>
            <w:tcBorders>
              <w:top w:val="nil"/>
              <w:left w:val="nil"/>
              <w:bottom w:val="single" w:sz="8" w:space="0" w:color="auto"/>
              <w:right w:val="single" w:sz="8" w:space="0" w:color="auto"/>
            </w:tcBorders>
            <w:shd w:val="clear" w:color="auto" w:fill="auto"/>
            <w:noWrap/>
            <w:vAlign w:val="center"/>
            <w:hideMark/>
          </w:tcPr>
          <w:p w14:paraId="52DEB2E7"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single" w:sz="8" w:space="0" w:color="auto"/>
              <w:right w:val="single" w:sz="8" w:space="0" w:color="auto"/>
            </w:tcBorders>
            <w:shd w:val="clear" w:color="auto" w:fill="auto"/>
            <w:noWrap/>
            <w:vAlign w:val="center"/>
            <w:hideMark/>
          </w:tcPr>
          <w:p w14:paraId="44821BEA"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single" w:sz="8" w:space="0" w:color="auto"/>
              <w:right w:val="single" w:sz="8" w:space="0" w:color="auto"/>
            </w:tcBorders>
            <w:shd w:val="clear" w:color="auto" w:fill="auto"/>
            <w:noWrap/>
            <w:vAlign w:val="center"/>
            <w:hideMark/>
          </w:tcPr>
          <w:p w14:paraId="4E75AB3C"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126" w:type="dxa"/>
            <w:tcBorders>
              <w:top w:val="nil"/>
              <w:left w:val="nil"/>
              <w:bottom w:val="single" w:sz="8" w:space="0" w:color="auto"/>
              <w:right w:val="single" w:sz="8" w:space="0" w:color="auto"/>
            </w:tcBorders>
            <w:shd w:val="clear" w:color="auto" w:fill="auto"/>
            <w:noWrap/>
            <w:vAlign w:val="center"/>
            <w:hideMark/>
          </w:tcPr>
          <w:p w14:paraId="133704BA"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single" w:sz="8" w:space="0" w:color="auto"/>
              <w:right w:val="single" w:sz="8" w:space="0" w:color="auto"/>
            </w:tcBorders>
            <w:shd w:val="clear" w:color="auto" w:fill="auto"/>
            <w:noWrap/>
            <w:vAlign w:val="center"/>
            <w:hideMark/>
          </w:tcPr>
          <w:p w14:paraId="40BD0493"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single" w:sz="8" w:space="0" w:color="auto"/>
              <w:right w:val="single" w:sz="8" w:space="0" w:color="auto"/>
            </w:tcBorders>
            <w:shd w:val="clear" w:color="auto" w:fill="auto"/>
            <w:noWrap/>
            <w:vAlign w:val="center"/>
            <w:hideMark/>
          </w:tcPr>
          <w:p w14:paraId="2E654D4D"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727" w:type="dxa"/>
            <w:tcBorders>
              <w:top w:val="nil"/>
              <w:left w:val="nil"/>
              <w:bottom w:val="single" w:sz="8" w:space="0" w:color="auto"/>
              <w:right w:val="double" w:sz="6" w:space="0" w:color="auto"/>
            </w:tcBorders>
            <w:shd w:val="clear" w:color="auto" w:fill="auto"/>
            <w:noWrap/>
            <w:vAlign w:val="center"/>
            <w:hideMark/>
          </w:tcPr>
          <w:p w14:paraId="7F534AE6" w14:textId="77777777" w:rsidR="00ED43C2" w:rsidRPr="00C222C1" w:rsidRDefault="00ED43C2" w:rsidP="00EB7C0D">
            <w:pPr>
              <w:spacing w:after="0" w:line="240" w:lineRule="auto"/>
              <w:rPr>
                <w:rFonts w:ascii="Calibri" w:eastAsia="Times New Roman" w:hAnsi="Calibri" w:cs="Calibri"/>
                <w:color w:val="FF0000"/>
                <w:lang w:eastAsia="es-ES"/>
              </w:rPr>
            </w:pPr>
            <w:r w:rsidRPr="00C222C1">
              <w:rPr>
                <w:rFonts w:ascii="Calibri" w:eastAsia="Times New Roman" w:hAnsi="Calibri" w:cs="Calibri"/>
                <w:color w:val="FF0000"/>
                <w:lang w:eastAsia="es-ES"/>
              </w:rPr>
              <w:t> </w:t>
            </w:r>
          </w:p>
        </w:tc>
      </w:tr>
      <w:tr w:rsidR="00ED43C2" w:rsidRPr="00C222C1" w14:paraId="5E6A4D21" w14:textId="77777777" w:rsidTr="003F19AE">
        <w:trPr>
          <w:trHeight w:val="265"/>
        </w:trPr>
        <w:tc>
          <w:tcPr>
            <w:tcW w:w="2047" w:type="dxa"/>
            <w:tcBorders>
              <w:top w:val="nil"/>
              <w:left w:val="double" w:sz="6" w:space="0" w:color="auto"/>
              <w:bottom w:val="double" w:sz="6" w:space="0" w:color="auto"/>
              <w:right w:val="single" w:sz="8" w:space="0" w:color="auto"/>
            </w:tcBorders>
            <w:shd w:val="clear" w:color="000000" w:fill="D9D9D9"/>
            <w:vAlign w:val="center"/>
            <w:hideMark/>
          </w:tcPr>
          <w:p w14:paraId="35412065" w14:textId="77777777" w:rsidR="00ED43C2" w:rsidRPr="00C222C1" w:rsidRDefault="00ED43C2" w:rsidP="00EB7C0D">
            <w:pPr>
              <w:spacing w:after="0" w:line="240" w:lineRule="auto"/>
              <w:rPr>
                <w:rFonts w:ascii="Verdana" w:eastAsia="Times New Roman" w:hAnsi="Verdana" w:cs="Calibri"/>
                <w:b/>
                <w:bCs/>
                <w:color w:val="FF0000"/>
                <w:sz w:val="16"/>
                <w:szCs w:val="16"/>
                <w:lang w:eastAsia="es-ES"/>
              </w:rPr>
            </w:pPr>
            <w:r w:rsidRPr="00C222C1">
              <w:rPr>
                <w:rFonts w:ascii="Verdana" w:eastAsia="Times New Roman" w:hAnsi="Verdana" w:cs="Calibri"/>
                <w:b/>
                <w:bCs/>
                <w:color w:val="FF0000"/>
                <w:sz w:val="16"/>
                <w:szCs w:val="16"/>
                <w:lang w:val="es-ES_tradnl" w:eastAsia="es-ES"/>
              </w:rPr>
              <w:t>TOTAL</w:t>
            </w:r>
          </w:p>
        </w:tc>
        <w:tc>
          <w:tcPr>
            <w:tcW w:w="1163" w:type="dxa"/>
            <w:tcBorders>
              <w:top w:val="nil"/>
              <w:left w:val="nil"/>
              <w:bottom w:val="double" w:sz="6" w:space="0" w:color="auto"/>
              <w:right w:val="single" w:sz="8" w:space="0" w:color="auto"/>
            </w:tcBorders>
            <w:shd w:val="clear" w:color="auto" w:fill="auto"/>
            <w:noWrap/>
            <w:vAlign w:val="center"/>
            <w:hideMark/>
          </w:tcPr>
          <w:p w14:paraId="1E848B13"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double" w:sz="6" w:space="0" w:color="auto"/>
              <w:right w:val="single" w:sz="8" w:space="0" w:color="auto"/>
            </w:tcBorders>
            <w:shd w:val="clear" w:color="auto" w:fill="auto"/>
            <w:noWrap/>
            <w:vAlign w:val="center"/>
            <w:hideMark/>
          </w:tcPr>
          <w:p w14:paraId="5DD81D36"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double" w:sz="6" w:space="0" w:color="auto"/>
              <w:right w:val="single" w:sz="8" w:space="0" w:color="auto"/>
            </w:tcBorders>
            <w:shd w:val="clear" w:color="auto" w:fill="auto"/>
            <w:noWrap/>
            <w:vAlign w:val="center"/>
            <w:hideMark/>
          </w:tcPr>
          <w:p w14:paraId="46E57B21"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126" w:type="dxa"/>
            <w:tcBorders>
              <w:top w:val="nil"/>
              <w:left w:val="nil"/>
              <w:bottom w:val="double" w:sz="6" w:space="0" w:color="auto"/>
              <w:right w:val="single" w:sz="8" w:space="0" w:color="auto"/>
            </w:tcBorders>
            <w:shd w:val="clear" w:color="auto" w:fill="auto"/>
            <w:noWrap/>
            <w:vAlign w:val="center"/>
            <w:hideMark/>
          </w:tcPr>
          <w:p w14:paraId="6CB18B02"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374" w:type="dxa"/>
            <w:tcBorders>
              <w:top w:val="nil"/>
              <w:left w:val="nil"/>
              <w:bottom w:val="double" w:sz="6" w:space="0" w:color="auto"/>
              <w:right w:val="single" w:sz="8" w:space="0" w:color="auto"/>
            </w:tcBorders>
            <w:shd w:val="clear" w:color="auto" w:fill="auto"/>
            <w:noWrap/>
            <w:vAlign w:val="center"/>
            <w:hideMark/>
          </w:tcPr>
          <w:p w14:paraId="722ECCC0"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508" w:type="dxa"/>
            <w:tcBorders>
              <w:top w:val="nil"/>
              <w:left w:val="nil"/>
              <w:bottom w:val="double" w:sz="6" w:space="0" w:color="auto"/>
              <w:right w:val="single" w:sz="8" w:space="0" w:color="auto"/>
            </w:tcBorders>
            <w:shd w:val="clear" w:color="auto" w:fill="auto"/>
            <w:noWrap/>
            <w:vAlign w:val="center"/>
            <w:hideMark/>
          </w:tcPr>
          <w:p w14:paraId="0871D9DD" w14:textId="77777777" w:rsidR="00ED43C2" w:rsidRPr="00C222C1" w:rsidRDefault="00ED43C2" w:rsidP="00EB7C0D">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727" w:type="dxa"/>
            <w:tcBorders>
              <w:top w:val="nil"/>
              <w:left w:val="nil"/>
              <w:bottom w:val="double" w:sz="6" w:space="0" w:color="auto"/>
              <w:right w:val="double" w:sz="6" w:space="0" w:color="auto"/>
            </w:tcBorders>
            <w:shd w:val="clear" w:color="auto" w:fill="auto"/>
            <w:noWrap/>
            <w:vAlign w:val="center"/>
            <w:hideMark/>
          </w:tcPr>
          <w:p w14:paraId="12BFAD5C" w14:textId="77777777" w:rsidR="00ED43C2" w:rsidRPr="00C222C1" w:rsidRDefault="00ED43C2" w:rsidP="00EB7C0D">
            <w:pPr>
              <w:spacing w:after="0" w:line="240" w:lineRule="auto"/>
              <w:rPr>
                <w:rFonts w:ascii="Calibri" w:eastAsia="Times New Roman" w:hAnsi="Calibri" w:cs="Calibri"/>
                <w:color w:val="FF0000"/>
                <w:lang w:eastAsia="es-ES"/>
              </w:rPr>
            </w:pPr>
            <w:r w:rsidRPr="00C222C1">
              <w:rPr>
                <w:rFonts w:ascii="Calibri" w:eastAsia="Times New Roman" w:hAnsi="Calibri" w:cs="Calibri"/>
                <w:color w:val="FF0000"/>
                <w:lang w:eastAsia="es-ES"/>
              </w:rPr>
              <w:t> </w:t>
            </w:r>
          </w:p>
        </w:tc>
      </w:tr>
    </w:tbl>
    <w:p w14:paraId="2F1DD95C" w14:textId="77777777" w:rsidR="00ED43C2" w:rsidRDefault="00ED43C2" w:rsidP="00ED43C2">
      <w:pPr>
        <w:rPr>
          <w:b/>
          <w:color w:val="FF0000"/>
          <w:sz w:val="24"/>
          <w:szCs w:val="24"/>
          <w:u w:val="single"/>
        </w:rPr>
      </w:pPr>
    </w:p>
    <w:p w14:paraId="27286741" w14:textId="1526D378" w:rsidR="00ED43C2" w:rsidRPr="00C222C1" w:rsidRDefault="00ED43C2" w:rsidP="00ED43C2">
      <w:pPr>
        <w:rPr>
          <w:b/>
          <w:color w:val="FF0000"/>
          <w:sz w:val="24"/>
          <w:szCs w:val="24"/>
          <w:u w:val="single"/>
        </w:rPr>
      </w:pPr>
      <w:r w:rsidRPr="00C222C1">
        <w:rPr>
          <w:b/>
          <w:color w:val="FF0000"/>
          <w:sz w:val="24"/>
          <w:szCs w:val="24"/>
          <w:u w:val="single"/>
        </w:rPr>
        <w:t xml:space="preserve">1.10.2  DECRETOS DICTADOS RESOLVIENDO SOBRE FALTA DE PAGO DE LA RENTA O CANTIDADES ASIMILADAS (incluidas fianzas) </w:t>
      </w:r>
    </w:p>
    <w:tbl>
      <w:tblPr>
        <w:tblW w:w="9500" w:type="dxa"/>
        <w:tblInd w:w="47" w:type="dxa"/>
        <w:tblCellMar>
          <w:left w:w="70" w:type="dxa"/>
          <w:right w:w="70" w:type="dxa"/>
        </w:tblCellMar>
        <w:tblLook w:val="04A0" w:firstRow="1" w:lastRow="0" w:firstColumn="1" w:lastColumn="0" w:noHBand="0" w:noVBand="1"/>
      </w:tblPr>
      <w:tblGrid>
        <w:gridCol w:w="4320"/>
        <w:gridCol w:w="1720"/>
        <w:gridCol w:w="2260"/>
        <w:gridCol w:w="1200"/>
      </w:tblGrid>
      <w:tr w:rsidR="00ED43C2" w:rsidRPr="00C222C1" w14:paraId="64012B45" w14:textId="77777777" w:rsidTr="00EB7C0D">
        <w:trPr>
          <w:trHeight w:val="540"/>
        </w:trPr>
        <w:tc>
          <w:tcPr>
            <w:tcW w:w="4320"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540DF15E" w14:textId="77777777" w:rsidR="00ED43C2" w:rsidRPr="00C222C1" w:rsidRDefault="00ED43C2" w:rsidP="00EB7C0D">
            <w:pPr>
              <w:spacing w:after="0" w:line="240" w:lineRule="auto"/>
              <w:rPr>
                <w:rFonts w:ascii="Verdana" w:eastAsia="Times New Roman" w:hAnsi="Verdana" w:cs="Calibri"/>
                <w:b/>
                <w:bCs/>
                <w:color w:val="FF0000"/>
                <w:sz w:val="16"/>
                <w:szCs w:val="16"/>
                <w:lang w:eastAsia="es-ES"/>
              </w:rPr>
            </w:pPr>
            <w:r w:rsidRPr="00C222C1">
              <w:rPr>
                <w:rFonts w:ascii="Verdana" w:eastAsia="Times New Roman" w:hAnsi="Verdana" w:cs="Calibri"/>
                <w:b/>
                <w:bCs/>
                <w:color w:val="FF0000"/>
                <w:sz w:val="16"/>
                <w:szCs w:val="16"/>
                <w:lang w:val="es-ES_tradnl" w:eastAsia="es-ES"/>
              </w:rPr>
              <w:t>CAUSA DE LA TERMINACIÓN POR DECRETO</w:t>
            </w:r>
          </w:p>
        </w:tc>
        <w:tc>
          <w:tcPr>
            <w:tcW w:w="1720" w:type="dxa"/>
            <w:tcBorders>
              <w:top w:val="double" w:sz="6" w:space="0" w:color="auto"/>
              <w:left w:val="nil"/>
              <w:bottom w:val="double" w:sz="6" w:space="0" w:color="auto"/>
              <w:right w:val="single" w:sz="4" w:space="0" w:color="auto"/>
            </w:tcBorders>
            <w:shd w:val="clear" w:color="000000" w:fill="D9D9D9"/>
            <w:vAlign w:val="center"/>
            <w:hideMark/>
          </w:tcPr>
          <w:p w14:paraId="35F18B4D" w14:textId="77777777" w:rsidR="00ED43C2" w:rsidRPr="00C222C1" w:rsidRDefault="00ED43C2" w:rsidP="00EB7C0D">
            <w:pPr>
              <w:spacing w:after="0" w:line="240" w:lineRule="auto"/>
              <w:jc w:val="center"/>
              <w:rPr>
                <w:rFonts w:ascii="Arial" w:eastAsia="Times New Roman" w:hAnsi="Arial" w:cs="Arial"/>
                <w:b/>
                <w:bCs/>
                <w:color w:val="FF0000"/>
                <w:sz w:val="20"/>
                <w:szCs w:val="20"/>
                <w:lang w:eastAsia="es-ES"/>
              </w:rPr>
            </w:pPr>
            <w:r w:rsidRPr="00C222C1">
              <w:rPr>
                <w:rFonts w:ascii="Arial" w:eastAsia="Times New Roman" w:hAnsi="Arial" w:cs="Arial"/>
                <w:b/>
                <w:bCs/>
                <w:color w:val="FF0000"/>
                <w:sz w:val="20"/>
                <w:szCs w:val="20"/>
                <w:lang w:eastAsia="es-ES"/>
              </w:rPr>
              <w:t xml:space="preserve">Vivienda </w:t>
            </w:r>
          </w:p>
        </w:tc>
        <w:tc>
          <w:tcPr>
            <w:tcW w:w="2260" w:type="dxa"/>
            <w:tcBorders>
              <w:top w:val="double" w:sz="6" w:space="0" w:color="auto"/>
              <w:left w:val="nil"/>
              <w:bottom w:val="double" w:sz="6" w:space="0" w:color="auto"/>
              <w:right w:val="double" w:sz="6" w:space="0" w:color="auto"/>
            </w:tcBorders>
            <w:shd w:val="clear" w:color="000000" w:fill="D9D9D9"/>
            <w:vAlign w:val="center"/>
            <w:hideMark/>
          </w:tcPr>
          <w:p w14:paraId="0E79CEE2" w14:textId="77777777" w:rsidR="00ED43C2" w:rsidRPr="00C222C1" w:rsidRDefault="00ED43C2" w:rsidP="00EB7C0D">
            <w:pPr>
              <w:spacing w:after="0" w:line="240" w:lineRule="auto"/>
              <w:jc w:val="center"/>
              <w:rPr>
                <w:rFonts w:ascii="Arial" w:eastAsia="Times New Roman" w:hAnsi="Arial" w:cs="Arial"/>
                <w:b/>
                <w:bCs/>
                <w:color w:val="FF0000"/>
                <w:sz w:val="20"/>
                <w:szCs w:val="20"/>
                <w:lang w:eastAsia="es-ES"/>
              </w:rPr>
            </w:pPr>
            <w:r w:rsidRPr="00C222C1">
              <w:rPr>
                <w:rFonts w:ascii="Arial" w:eastAsia="Times New Roman" w:hAnsi="Arial" w:cs="Arial"/>
                <w:b/>
                <w:bCs/>
                <w:color w:val="FF0000"/>
                <w:sz w:val="20"/>
                <w:szCs w:val="20"/>
                <w:lang w:eastAsia="es-ES"/>
              </w:rPr>
              <w:t xml:space="preserve">Uso distinto a vivienda </w:t>
            </w:r>
          </w:p>
        </w:tc>
        <w:tc>
          <w:tcPr>
            <w:tcW w:w="1200" w:type="dxa"/>
            <w:tcBorders>
              <w:top w:val="double" w:sz="6" w:space="0" w:color="auto"/>
              <w:left w:val="single" w:sz="4" w:space="0" w:color="auto"/>
              <w:bottom w:val="double" w:sz="6" w:space="0" w:color="auto"/>
              <w:right w:val="double" w:sz="6" w:space="0" w:color="auto"/>
            </w:tcBorders>
            <w:shd w:val="clear" w:color="000000" w:fill="D9D9D9"/>
            <w:vAlign w:val="center"/>
            <w:hideMark/>
          </w:tcPr>
          <w:p w14:paraId="720279A2" w14:textId="77777777" w:rsidR="00ED43C2" w:rsidRPr="00C222C1" w:rsidRDefault="00ED43C2" w:rsidP="00EB7C0D">
            <w:pPr>
              <w:spacing w:after="0" w:line="240" w:lineRule="auto"/>
              <w:jc w:val="center"/>
              <w:rPr>
                <w:rFonts w:ascii="Arial" w:eastAsia="Times New Roman" w:hAnsi="Arial" w:cs="Arial"/>
                <w:b/>
                <w:bCs/>
                <w:color w:val="FF0000"/>
                <w:sz w:val="20"/>
                <w:szCs w:val="20"/>
                <w:lang w:eastAsia="es-ES"/>
              </w:rPr>
            </w:pPr>
            <w:r w:rsidRPr="00C222C1">
              <w:rPr>
                <w:rFonts w:ascii="Arial" w:eastAsia="Times New Roman" w:hAnsi="Arial" w:cs="Arial"/>
                <w:b/>
                <w:bCs/>
                <w:color w:val="FF0000"/>
                <w:sz w:val="20"/>
                <w:szCs w:val="20"/>
                <w:lang w:eastAsia="es-ES"/>
              </w:rPr>
              <w:t xml:space="preserve">TOTAL </w:t>
            </w:r>
          </w:p>
        </w:tc>
      </w:tr>
      <w:tr w:rsidR="00047A1C" w:rsidRPr="00C222C1" w14:paraId="6745224A" w14:textId="77777777" w:rsidTr="00EB7C0D">
        <w:trPr>
          <w:trHeight w:val="495"/>
        </w:trPr>
        <w:tc>
          <w:tcPr>
            <w:tcW w:w="4320" w:type="dxa"/>
            <w:tcBorders>
              <w:top w:val="nil"/>
              <w:left w:val="double" w:sz="6" w:space="0" w:color="auto"/>
              <w:bottom w:val="single" w:sz="4" w:space="0" w:color="auto"/>
              <w:right w:val="single" w:sz="4" w:space="0" w:color="auto"/>
            </w:tcBorders>
            <w:shd w:val="clear" w:color="000000" w:fill="D9D9D9"/>
            <w:vAlign w:val="center"/>
            <w:hideMark/>
          </w:tcPr>
          <w:p w14:paraId="1BE5D3CE" w14:textId="7A7BD90C" w:rsidR="00047A1C" w:rsidRPr="00C222C1" w:rsidRDefault="00E726D2" w:rsidP="00047A1C">
            <w:pPr>
              <w:spacing w:after="0" w:line="240" w:lineRule="auto"/>
              <w:rPr>
                <w:rFonts w:ascii="Verdana" w:eastAsia="Times New Roman" w:hAnsi="Verdana" w:cs="Calibri"/>
                <w:b/>
                <w:bCs/>
                <w:color w:val="FF0000"/>
                <w:sz w:val="16"/>
                <w:szCs w:val="16"/>
                <w:lang w:eastAsia="es-ES"/>
              </w:rPr>
            </w:pPr>
            <w:r>
              <w:rPr>
                <w:rFonts w:ascii="Verdana" w:eastAsia="Times New Roman" w:hAnsi="Verdana" w:cs="Calibri"/>
                <w:b/>
                <w:bCs/>
                <w:color w:val="4472C4" w:themeColor="accent1"/>
                <w:sz w:val="16"/>
                <w:szCs w:val="16"/>
                <w:lang w:eastAsia="es-ES"/>
              </w:rPr>
              <w:t>Decreto final por entrega de posesión</w:t>
            </w:r>
          </w:p>
        </w:tc>
        <w:tc>
          <w:tcPr>
            <w:tcW w:w="1720" w:type="dxa"/>
            <w:tcBorders>
              <w:top w:val="nil"/>
              <w:left w:val="nil"/>
              <w:bottom w:val="single" w:sz="4" w:space="0" w:color="auto"/>
              <w:right w:val="single" w:sz="4" w:space="0" w:color="auto"/>
            </w:tcBorders>
            <w:shd w:val="clear" w:color="auto" w:fill="auto"/>
            <w:noWrap/>
            <w:vAlign w:val="center"/>
            <w:hideMark/>
          </w:tcPr>
          <w:p w14:paraId="5AFB423A" w14:textId="77777777" w:rsidR="00047A1C" w:rsidRPr="00C222C1" w:rsidRDefault="00047A1C" w:rsidP="00047A1C">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2260" w:type="dxa"/>
            <w:tcBorders>
              <w:top w:val="nil"/>
              <w:left w:val="nil"/>
              <w:bottom w:val="single" w:sz="4" w:space="0" w:color="auto"/>
              <w:right w:val="nil"/>
            </w:tcBorders>
            <w:shd w:val="clear" w:color="auto" w:fill="auto"/>
            <w:noWrap/>
            <w:vAlign w:val="center"/>
            <w:hideMark/>
          </w:tcPr>
          <w:p w14:paraId="74289457" w14:textId="77777777" w:rsidR="00047A1C" w:rsidRPr="00C222C1" w:rsidRDefault="00047A1C" w:rsidP="00047A1C">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200" w:type="dxa"/>
            <w:tcBorders>
              <w:top w:val="nil"/>
              <w:left w:val="single" w:sz="4" w:space="0" w:color="auto"/>
              <w:bottom w:val="single" w:sz="4" w:space="0" w:color="auto"/>
              <w:right w:val="double" w:sz="6" w:space="0" w:color="auto"/>
            </w:tcBorders>
            <w:shd w:val="clear" w:color="auto" w:fill="auto"/>
            <w:noWrap/>
            <w:vAlign w:val="center"/>
            <w:hideMark/>
          </w:tcPr>
          <w:p w14:paraId="53CFD5AD" w14:textId="77777777" w:rsidR="00047A1C" w:rsidRPr="00C222C1" w:rsidRDefault="00047A1C" w:rsidP="00047A1C">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r>
      <w:tr w:rsidR="00047A1C" w:rsidRPr="00C222C1" w14:paraId="0E6438AF" w14:textId="77777777" w:rsidTr="00EB7C0D">
        <w:trPr>
          <w:trHeight w:val="450"/>
        </w:trPr>
        <w:tc>
          <w:tcPr>
            <w:tcW w:w="4320" w:type="dxa"/>
            <w:tcBorders>
              <w:top w:val="nil"/>
              <w:left w:val="double" w:sz="6" w:space="0" w:color="auto"/>
              <w:bottom w:val="single" w:sz="4" w:space="0" w:color="auto"/>
              <w:right w:val="single" w:sz="4" w:space="0" w:color="auto"/>
            </w:tcBorders>
            <w:shd w:val="clear" w:color="000000" w:fill="D9D9D9"/>
            <w:vAlign w:val="center"/>
            <w:hideMark/>
          </w:tcPr>
          <w:p w14:paraId="624165EB" w14:textId="3D1E6931" w:rsidR="00047A1C" w:rsidRPr="00C222C1" w:rsidRDefault="00E726D2" w:rsidP="00047A1C">
            <w:pPr>
              <w:spacing w:after="0" w:line="240" w:lineRule="auto"/>
              <w:rPr>
                <w:rFonts w:ascii="Verdana" w:eastAsia="Times New Roman" w:hAnsi="Verdana" w:cs="Calibri"/>
                <w:b/>
                <w:bCs/>
                <w:color w:val="FF0000"/>
                <w:sz w:val="16"/>
                <w:szCs w:val="16"/>
                <w:lang w:eastAsia="es-ES"/>
              </w:rPr>
            </w:pPr>
            <w:r>
              <w:rPr>
                <w:rFonts w:ascii="Verdana" w:eastAsia="Times New Roman" w:hAnsi="Verdana" w:cs="Calibri"/>
                <w:b/>
                <w:bCs/>
                <w:color w:val="4472C4" w:themeColor="accent1"/>
                <w:sz w:val="16"/>
                <w:szCs w:val="16"/>
                <w:lang w:eastAsia="es-ES"/>
              </w:rPr>
              <w:t>Decreto final por enervación</w:t>
            </w:r>
          </w:p>
        </w:tc>
        <w:tc>
          <w:tcPr>
            <w:tcW w:w="1720" w:type="dxa"/>
            <w:tcBorders>
              <w:top w:val="nil"/>
              <w:left w:val="nil"/>
              <w:bottom w:val="single" w:sz="4" w:space="0" w:color="auto"/>
              <w:right w:val="single" w:sz="4" w:space="0" w:color="auto"/>
            </w:tcBorders>
            <w:shd w:val="clear" w:color="auto" w:fill="auto"/>
            <w:noWrap/>
            <w:vAlign w:val="center"/>
            <w:hideMark/>
          </w:tcPr>
          <w:p w14:paraId="01EFDDF0" w14:textId="77777777" w:rsidR="00047A1C" w:rsidRPr="00C222C1" w:rsidRDefault="00047A1C" w:rsidP="00047A1C">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2260" w:type="dxa"/>
            <w:tcBorders>
              <w:top w:val="nil"/>
              <w:left w:val="nil"/>
              <w:bottom w:val="single" w:sz="4" w:space="0" w:color="auto"/>
              <w:right w:val="nil"/>
            </w:tcBorders>
            <w:shd w:val="clear" w:color="auto" w:fill="auto"/>
            <w:noWrap/>
            <w:vAlign w:val="center"/>
            <w:hideMark/>
          </w:tcPr>
          <w:p w14:paraId="6A21F370" w14:textId="77777777" w:rsidR="00047A1C" w:rsidRPr="00C222C1" w:rsidRDefault="00047A1C" w:rsidP="00047A1C">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200" w:type="dxa"/>
            <w:tcBorders>
              <w:top w:val="nil"/>
              <w:left w:val="single" w:sz="4" w:space="0" w:color="auto"/>
              <w:bottom w:val="single" w:sz="4" w:space="0" w:color="auto"/>
              <w:right w:val="double" w:sz="6" w:space="0" w:color="auto"/>
            </w:tcBorders>
            <w:shd w:val="clear" w:color="auto" w:fill="auto"/>
            <w:noWrap/>
            <w:vAlign w:val="center"/>
            <w:hideMark/>
          </w:tcPr>
          <w:p w14:paraId="3384F2D2" w14:textId="77777777" w:rsidR="00047A1C" w:rsidRPr="00C222C1" w:rsidRDefault="00047A1C" w:rsidP="00047A1C">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r>
      <w:tr w:rsidR="00E726D2" w:rsidRPr="00C222C1" w14:paraId="095DD5F0" w14:textId="77777777" w:rsidTr="00EB7C0D">
        <w:trPr>
          <w:trHeight w:val="390"/>
        </w:trPr>
        <w:tc>
          <w:tcPr>
            <w:tcW w:w="4320" w:type="dxa"/>
            <w:tcBorders>
              <w:top w:val="nil"/>
              <w:left w:val="double" w:sz="6" w:space="0" w:color="auto"/>
              <w:bottom w:val="single" w:sz="4" w:space="0" w:color="auto"/>
              <w:right w:val="single" w:sz="4" w:space="0" w:color="auto"/>
            </w:tcBorders>
            <w:shd w:val="clear" w:color="000000" w:fill="D9D9D9"/>
            <w:vAlign w:val="center"/>
            <w:hideMark/>
          </w:tcPr>
          <w:p w14:paraId="35DF559C" w14:textId="7DA0F52E" w:rsidR="00E726D2" w:rsidRPr="00C222C1" w:rsidRDefault="00E726D2" w:rsidP="00E726D2">
            <w:pPr>
              <w:spacing w:after="0" w:line="240" w:lineRule="auto"/>
              <w:rPr>
                <w:rFonts w:ascii="Verdana" w:eastAsia="Times New Roman" w:hAnsi="Verdana" w:cs="Calibri"/>
                <w:b/>
                <w:bCs/>
                <w:color w:val="FF0000"/>
                <w:sz w:val="16"/>
                <w:szCs w:val="16"/>
                <w:lang w:eastAsia="es-ES"/>
              </w:rPr>
            </w:pPr>
            <w:r>
              <w:rPr>
                <w:rFonts w:ascii="Verdana" w:eastAsia="Times New Roman" w:hAnsi="Verdana" w:cs="Calibri"/>
                <w:b/>
                <w:bCs/>
                <w:color w:val="4472C4" w:themeColor="accent1"/>
                <w:sz w:val="16"/>
                <w:szCs w:val="16"/>
                <w:lang w:eastAsia="es-ES"/>
              </w:rPr>
              <w:t>Decreto final por archivo para ejecución</w:t>
            </w:r>
          </w:p>
        </w:tc>
        <w:tc>
          <w:tcPr>
            <w:tcW w:w="1720" w:type="dxa"/>
            <w:tcBorders>
              <w:top w:val="nil"/>
              <w:left w:val="nil"/>
              <w:bottom w:val="single" w:sz="4" w:space="0" w:color="auto"/>
              <w:right w:val="single" w:sz="4" w:space="0" w:color="auto"/>
            </w:tcBorders>
            <w:shd w:val="clear" w:color="auto" w:fill="auto"/>
            <w:noWrap/>
            <w:vAlign w:val="center"/>
            <w:hideMark/>
          </w:tcPr>
          <w:p w14:paraId="53E418D0" w14:textId="77777777" w:rsidR="00E726D2" w:rsidRPr="00C222C1" w:rsidRDefault="00E726D2" w:rsidP="00E726D2">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2260" w:type="dxa"/>
            <w:tcBorders>
              <w:top w:val="nil"/>
              <w:left w:val="nil"/>
              <w:bottom w:val="single" w:sz="4" w:space="0" w:color="auto"/>
              <w:right w:val="nil"/>
            </w:tcBorders>
            <w:shd w:val="clear" w:color="auto" w:fill="auto"/>
            <w:noWrap/>
            <w:vAlign w:val="center"/>
            <w:hideMark/>
          </w:tcPr>
          <w:p w14:paraId="7098C6EA" w14:textId="77777777" w:rsidR="00E726D2" w:rsidRPr="00C222C1" w:rsidRDefault="00E726D2" w:rsidP="00E726D2">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200" w:type="dxa"/>
            <w:tcBorders>
              <w:top w:val="nil"/>
              <w:left w:val="single" w:sz="4" w:space="0" w:color="auto"/>
              <w:bottom w:val="single" w:sz="4" w:space="0" w:color="auto"/>
              <w:right w:val="double" w:sz="6" w:space="0" w:color="auto"/>
            </w:tcBorders>
            <w:shd w:val="clear" w:color="auto" w:fill="auto"/>
            <w:noWrap/>
            <w:vAlign w:val="center"/>
            <w:hideMark/>
          </w:tcPr>
          <w:p w14:paraId="3013F9AB" w14:textId="77777777" w:rsidR="00E726D2" w:rsidRPr="00C222C1" w:rsidRDefault="00E726D2" w:rsidP="00E726D2">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r>
      <w:tr w:rsidR="00E726D2" w:rsidRPr="00C222C1" w14:paraId="5EDDF5E2" w14:textId="77777777" w:rsidTr="00EB7C0D">
        <w:trPr>
          <w:trHeight w:val="465"/>
        </w:trPr>
        <w:tc>
          <w:tcPr>
            <w:tcW w:w="4320" w:type="dxa"/>
            <w:tcBorders>
              <w:top w:val="nil"/>
              <w:left w:val="double" w:sz="6" w:space="0" w:color="auto"/>
              <w:bottom w:val="nil"/>
              <w:right w:val="single" w:sz="4" w:space="0" w:color="auto"/>
            </w:tcBorders>
            <w:shd w:val="clear" w:color="000000" w:fill="D9D9D9"/>
            <w:vAlign w:val="center"/>
            <w:hideMark/>
          </w:tcPr>
          <w:p w14:paraId="6FE5103B" w14:textId="6BC95EAB" w:rsidR="00E726D2" w:rsidRPr="00C222C1" w:rsidRDefault="00E726D2" w:rsidP="00E726D2">
            <w:pPr>
              <w:spacing w:after="0" w:line="240" w:lineRule="auto"/>
              <w:rPr>
                <w:rFonts w:ascii="Verdana" w:eastAsia="Times New Roman" w:hAnsi="Verdana" w:cs="Calibri"/>
                <w:b/>
                <w:bCs/>
                <w:color w:val="FF0000"/>
                <w:sz w:val="16"/>
                <w:szCs w:val="16"/>
                <w:lang w:eastAsia="es-ES"/>
              </w:rPr>
            </w:pPr>
            <w:r>
              <w:rPr>
                <w:rFonts w:ascii="Verdana" w:eastAsia="Times New Roman" w:hAnsi="Verdana" w:cs="Calibri"/>
                <w:b/>
                <w:bCs/>
                <w:color w:val="4472C4" w:themeColor="accent1"/>
                <w:sz w:val="16"/>
                <w:szCs w:val="16"/>
                <w:lang w:eastAsia="es-ES"/>
              </w:rPr>
              <w:t>Decreto final por otras causas</w:t>
            </w:r>
          </w:p>
        </w:tc>
        <w:tc>
          <w:tcPr>
            <w:tcW w:w="1720" w:type="dxa"/>
            <w:tcBorders>
              <w:top w:val="nil"/>
              <w:left w:val="nil"/>
              <w:bottom w:val="nil"/>
              <w:right w:val="single" w:sz="4" w:space="0" w:color="auto"/>
            </w:tcBorders>
            <w:shd w:val="clear" w:color="auto" w:fill="auto"/>
            <w:noWrap/>
            <w:vAlign w:val="center"/>
            <w:hideMark/>
          </w:tcPr>
          <w:p w14:paraId="41ACA28A" w14:textId="77777777" w:rsidR="00E726D2" w:rsidRPr="00C222C1" w:rsidRDefault="00E726D2" w:rsidP="00E726D2">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2260" w:type="dxa"/>
            <w:tcBorders>
              <w:top w:val="nil"/>
              <w:left w:val="nil"/>
              <w:bottom w:val="nil"/>
              <w:right w:val="nil"/>
            </w:tcBorders>
            <w:shd w:val="clear" w:color="auto" w:fill="auto"/>
            <w:noWrap/>
            <w:vAlign w:val="center"/>
            <w:hideMark/>
          </w:tcPr>
          <w:p w14:paraId="16E472C2" w14:textId="77777777" w:rsidR="00E726D2" w:rsidRPr="00C222C1" w:rsidRDefault="00E726D2" w:rsidP="00E726D2">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200" w:type="dxa"/>
            <w:tcBorders>
              <w:top w:val="nil"/>
              <w:left w:val="single" w:sz="4" w:space="0" w:color="auto"/>
              <w:bottom w:val="nil"/>
              <w:right w:val="double" w:sz="6" w:space="0" w:color="auto"/>
            </w:tcBorders>
            <w:shd w:val="clear" w:color="auto" w:fill="auto"/>
            <w:noWrap/>
            <w:vAlign w:val="center"/>
            <w:hideMark/>
          </w:tcPr>
          <w:p w14:paraId="55134229" w14:textId="77777777" w:rsidR="00E726D2" w:rsidRPr="00C222C1" w:rsidRDefault="00E726D2" w:rsidP="00E726D2">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r>
      <w:tr w:rsidR="00E726D2" w:rsidRPr="00C222C1" w14:paraId="401F5CAF" w14:textId="77777777" w:rsidTr="00EB7C0D">
        <w:trPr>
          <w:trHeight w:val="315"/>
        </w:trPr>
        <w:tc>
          <w:tcPr>
            <w:tcW w:w="4320" w:type="dxa"/>
            <w:tcBorders>
              <w:top w:val="single" w:sz="4" w:space="0" w:color="auto"/>
              <w:left w:val="double" w:sz="6" w:space="0" w:color="auto"/>
              <w:bottom w:val="double" w:sz="6" w:space="0" w:color="auto"/>
              <w:right w:val="single" w:sz="4" w:space="0" w:color="auto"/>
            </w:tcBorders>
            <w:shd w:val="clear" w:color="000000" w:fill="D9D9D9"/>
            <w:vAlign w:val="center"/>
            <w:hideMark/>
          </w:tcPr>
          <w:p w14:paraId="042EDAE3" w14:textId="77777777" w:rsidR="00E726D2" w:rsidRPr="00C222C1" w:rsidRDefault="00E726D2" w:rsidP="00E726D2">
            <w:pPr>
              <w:spacing w:after="0" w:line="240" w:lineRule="auto"/>
              <w:rPr>
                <w:rFonts w:ascii="Verdana" w:eastAsia="Times New Roman" w:hAnsi="Verdana" w:cs="Calibri"/>
                <w:b/>
                <w:bCs/>
                <w:color w:val="FF0000"/>
                <w:sz w:val="16"/>
                <w:szCs w:val="16"/>
                <w:lang w:eastAsia="es-ES"/>
              </w:rPr>
            </w:pPr>
            <w:r w:rsidRPr="00C222C1">
              <w:rPr>
                <w:rFonts w:ascii="Verdana" w:eastAsia="Times New Roman" w:hAnsi="Verdana" w:cs="Calibri"/>
                <w:b/>
                <w:bCs/>
                <w:color w:val="FF0000"/>
                <w:sz w:val="16"/>
                <w:szCs w:val="16"/>
                <w:lang w:eastAsia="es-ES"/>
              </w:rPr>
              <w:t>TOTAL</w:t>
            </w:r>
          </w:p>
        </w:tc>
        <w:tc>
          <w:tcPr>
            <w:tcW w:w="1720" w:type="dxa"/>
            <w:tcBorders>
              <w:top w:val="single" w:sz="4" w:space="0" w:color="auto"/>
              <w:left w:val="nil"/>
              <w:bottom w:val="double" w:sz="6" w:space="0" w:color="auto"/>
              <w:right w:val="single" w:sz="4" w:space="0" w:color="auto"/>
            </w:tcBorders>
            <w:shd w:val="clear" w:color="auto" w:fill="auto"/>
            <w:noWrap/>
            <w:vAlign w:val="center"/>
            <w:hideMark/>
          </w:tcPr>
          <w:p w14:paraId="148FECA4" w14:textId="77777777" w:rsidR="00E726D2" w:rsidRPr="00C222C1" w:rsidRDefault="00E726D2" w:rsidP="00E726D2">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2260" w:type="dxa"/>
            <w:tcBorders>
              <w:top w:val="single" w:sz="4" w:space="0" w:color="auto"/>
              <w:left w:val="nil"/>
              <w:bottom w:val="double" w:sz="6" w:space="0" w:color="auto"/>
              <w:right w:val="nil"/>
            </w:tcBorders>
            <w:shd w:val="clear" w:color="auto" w:fill="auto"/>
            <w:noWrap/>
            <w:vAlign w:val="center"/>
            <w:hideMark/>
          </w:tcPr>
          <w:p w14:paraId="70760F90" w14:textId="77777777" w:rsidR="00E726D2" w:rsidRPr="00C222C1" w:rsidRDefault="00E726D2" w:rsidP="00E726D2">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c>
          <w:tcPr>
            <w:tcW w:w="120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7C400C28" w14:textId="77777777" w:rsidR="00E726D2" w:rsidRPr="00C222C1" w:rsidRDefault="00E726D2" w:rsidP="00E726D2">
            <w:pPr>
              <w:spacing w:after="0" w:line="240" w:lineRule="auto"/>
              <w:rPr>
                <w:rFonts w:ascii="Arial" w:eastAsia="Times New Roman" w:hAnsi="Arial" w:cs="Arial"/>
                <w:color w:val="FF0000"/>
                <w:sz w:val="20"/>
                <w:szCs w:val="20"/>
                <w:lang w:eastAsia="es-ES"/>
              </w:rPr>
            </w:pPr>
            <w:r w:rsidRPr="00C222C1">
              <w:rPr>
                <w:rFonts w:ascii="Arial" w:eastAsia="Times New Roman" w:hAnsi="Arial" w:cs="Arial"/>
                <w:color w:val="FF0000"/>
                <w:sz w:val="20"/>
                <w:szCs w:val="20"/>
                <w:lang w:eastAsia="es-ES"/>
              </w:rPr>
              <w:t> </w:t>
            </w:r>
          </w:p>
        </w:tc>
      </w:tr>
    </w:tbl>
    <w:p w14:paraId="468FE39C" w14:textId="2D37D04C" w:rsidR="000D32BF" w:rsidRDefault="0055543C"/>
    <w:p w14:paraId="727140FD" w14:textId="33618535" w:rsidR="00884A55" w:rsidRPr="003F19AE" w:rsidRDefault="003F19AE" w:rsidP="00884A55">
      <w:pPr>
        <w:spacing w:after="0"/>
        <w:rPr>
          <w:b/>
          <w:sz w:val="24"/>
          <w:szCs w:val="24"/>
        </w:rPr>
      </w:pPr>
      <w:r w:rsidRPr="003F19AE">
        <w:rPr>
          <w:b/>
          <w:sz w:val="24"/>
          <w:szCs w:val="24"/>
        </w:rPr>
        <w:lastRenderedPageBreak/>
        <w:t>Este bloque de arrendamientos urbanos sustituye a los boletines que venia recogiendo el Instituto Nacional de Estadística, quien los deja de recoger con referencia a 2021.</w:t>
      </w:r>
    </w:p>
    <w:p w14:paraId="3F401307" w14:textId="1826C60B" w:rsidR="003F19AE" w:rsidRDefault="003F19AE" w:rsidP="00884A55">
      <w:pPr>
        <w:spacing w:after="0"/>
        <w:rPr>
          <w:bCs/>
          <w:sz w:val="24"/>
          <w:szCs w:val="24"/>
        </w:rPr>
      </w:pPr>
    </w:p>
    <w:p w14:paraId="228846F3" w14:textId="77777777" w:rsidR="003F19AE" w:rsidRPr="003F19AE" w:rsidRDefault="003F19AE" w:rsidP="00884A55">
      <w:pPr>
        <w:spacing w:after="0"/>
        <w:rPr>
          <w:bCs/>
          <w:sz w:val="24"/>
          <w:szCs w:val="24"/>
        </w:rPr>
      </w:pPr>
    </w:p>
    <w:p w14:paraId="183457CA" w14:textId="77777777" w:rsidR="0040736E" w:rsidRPr="0040736E" w:rsidRDefault="0040736E" w:rsidP="0040736E">
      <w:pPr>
        <w:pStyle w:val="Prrafodelista"/>
        <w:spacing w:after="0" w:line="240" w:lineRule="auto"/>
        <w:contextualSpacing w:val="0"/>
        <w:rPr>
          <w:rFonts w:ascii="Verdana" w:eastAsia="Times New Roman" w:hAnsi="Verdana"/>
          <w:color w:val="44546A"/>
        </w:rPr>
      </w:pPr>
    </w:p>
    <w:p w14:paraId="179F38BC" w14:textId="643F174C" w:rsidR="00047A1C" w:rsidRPr="00047A1C" w:rsidRDefault="00047A1C" w:rsidP="00047A1C">
      <w:pPr>
        <w:spacing w:after="0"/>
        <w:jc w:val="center"/>
        <w:rPr>
          <w:b/>
          <w:sz w:val="28"/>
          <w:szCs w:val="28"/>
        </w:rPr>
      </w:pPr>
      <w:r w:rsidRPr="00047A1C">
        <w:rPr>
          <w:b/>
          <w:sz w:val="28"/>
          <w:szCs w:val="28"/>
        </w:rPr>
        <w:t xml:space="preserve">A implementarse en el </w:t>
      </w:r>
      <w:r>
        <w:rPr>
          <w:b/>
          <w:sz w:val="28"/>
          <w:szCs w:val="28"/>
        </w:rPr>
        <w:t>tercer trimestre de 2021</w:t>
      </w:r>
    </w:p>
    <w:p w14:paraId="210D55BF" w14:textId="77777777" w:rsidR="00047A1C" w:rsidRPr="000739D3" w:rsidRDefault="00047A1C" w:rsidP="0040736E">
      <w:pPr>
        <w:spacing w:after="0"/>
        <w:rPr>
          <w:b/>
          <w:sz w:val="28"/>
          <w:szCs w:val="28"/>
          <w:u w:val="single"/>
        </w:rPr>
      </w:pPr>
    </w:p>
    <w:p w14:paraId="6AC1BB83" w14:textId="77777777" w:rsidR="0040736E" w:rsidRPr="0040736E" w:rsidRDefault="0040736E" w:rsidP="0040736E">
      <w:pPr>
        <w:pStyle w:val="Prrafodelista"/>
        <w:spacing w:after="0" w:line="240" w:lineRule="auto"/>
        <w:contextualSpacing w:val="0"/>
        <w:rPr>
          <w:rFonts w:ascii="Verdana" w:eastAsia="Times New Roman" w:hAnsi="Verdana"/>
          <w:color w:val="44546A"/>
        </w:rPr>
      </w:pPr>
    </w:p>
    <w:p w14:paraId="4DFC8C31" w14:textId="3ACD940E" w:rsidR="00E10D66" w:rsidRDefault="0040736E" w:rsidP="0040736E">
      <w:pPr>
        <w:rPr>
          <w:rFonts w:ascii="Verdana" w:eastAsia="Times New Roman" w:hAnsi="Verdana"/>
          <w:b/>
          <w:color w:val="44546A"/>
        </w:rPr>
      </w:pPr>
      <w:r w:rsidRPr="0040736E">
        <w:rPr>
          <w:rFonts w:ascii="Verdana" w:eastAsia="Times New Roman" w:hAnsi="Verdana"/>
          <w:b/>
          <w:color w:val="44546A"/>
        </w:rPr>
        <w:t xml:space="preserve"> </w:t>
      </w:r>
      <w:r w:rsidR="00E10D66" w:rsidRPr="00E10D66">
        <w:rPr>
          <w:rFonts w:ascii="Verdana" w:eastAsia="Times New Roman" w:hAnsi="Verdana"/>
          <w:b/>
        </w:rPr>
        <w:t>MOVIMIENTO DE ASUNTOS PENALES</w:t>
      </w:r>
      <w:r w:rsidR="00E10D66">
        <w:rPr>
          <w:rFonts w:ascii="Verdana" w:eastAsia="Times New Roman" w:hAnsi="Verdana"/>
          <w:b/>
        </w:rPr>
        <w:t>:</w:t>
      </w:r>
    </w:p>
    <w:p w14:paraId="52629383" w14:textId="07DE5A7A" w:rsidR="0040736E" w:rsidRPr="0040736E" w:rsidRDefault="0040736E" w:rsidP="0040736E">
      <w:pPr>
        <w:rPr>
          <w:b/>
          <w:sz w:val="28"/>
          <w:szCs w:val="28"/>
        </w:rPr>
      </w:pPr>
      <w:r w:rsidRPr="0040736E">
        <w:rPr>
          <w:b/>
          <w:sz w:val="28"/>
          <w:szCs w:val="28"/>
          <w:u w:val="single"/>
        </w:rPr>
        <w:t>Añadir:</w:t>
      </w:r>
    </w:p>
    <w:p w14:paraId="7BD41EFC" w14:textId="77777777" w:rsidR="0040736E" w:rsidRDefault="0040736E" w:rsidP="0040736E">
      <w:pPr>
        <w:pStyle w:val="Prrafodelista"/>
        <w:spacing w:after="0" w:line="240" w:lineRule="auto"/>
        <w:contextualSpacing w:val="0"/>
        <w:rPr>
          <w:rFonts w:ascii="Verdana" w:eastAsia="Times New Roman" w:hAnsi="Verdana"/>
          <w:color w:val="44546A"/>
        </w:rPr>
      </w:pPr>
    </w:p>
    <w:tbl>
      <w:tblPr>
        <w:tblW w:w="5260" w:type="pct"/>
        <w:jc w:val="center"/>
        <w:tblCellMar>
          <w:left w:w="0" w:type="dxa"/>
          <w:right w:w="0" w:type="dxa"/>
        </w:tblCellMar>
        <w:tblLook w:val="04A0" w:firstRow="1" w:lastRow="0" w:firstColumn="1" w:lastColumn="0" w:noHBand="0" w:noVBand="1"/>
      </w:tblPr>
      <w:tblGrid>
        <w:gridCol w:w="3909"/>
        <w:gridCol w:w="1252"/>
        <w:gridCol w:w="1252"/>
        <w:gridCol w:w="1252"/>
        <w:gridCol w:w="1250"/>
      </w:tblGrid>
      <w:tr w:rsidR="0040736E" w:rsidRPr="0040736E" w14:paraId="1B06BC77" w14:textId="77777777" w:rsidTr="00D817F7">
        <w:trPr>
          <w:trHeight w:val="20"/>
          <w:jc w:val="center"/>
        </w:trPr>
        <w:tc>
          <w:tcPr>
            <w:tcW w:w="2193" w:type="pct"/>
            <w:vMerge w:val="restart"/>
            <w:tcBorders>
              <w:top w:val="double" w:sz="4" w:space="0" w:color="auto"/>
              <w:left w:val="double" w:sz="4" w:space="0" w:color="auto"/>
              <w:bottom w:val="double" w:sz="4" w:space="0" w:color="auto"/>
              <w:right w:val="single" w:sz="8" w:space="0" w:color="000000"/>
            </w:tcBorders>
            <w:shd w:val="clear" w:color="auto" w:fill="BFBFBF"/>
            <w:tcMar>
              <w:top w:w="28" w:type="dxa"/>
              <w:left w:w="28" w:type="dxa"/>
              <w:bottom w:w="28" w:type="dxa"/>
              <w:right w:w="28" w:type="dxa"/>
            </w:tcMar>
            <w:vAlign w:val="center"/>
            <w:hideMark/>
          </w:tcPr>
          <w:p w14:paraId="2AC1ED25" w14:textId="77777777" w:rsidR="0040736E" w:rsidRPr="0040736E" w:rsidRDefault="0040736E" w:rsidP="001E6ED8">
            <w:pPr>
              <w:pStyle w:val="Prrafodelista"/>
              <w:spacing w:after="0" w:line="240" w:lineRule="auto"/>
              <w:contextualSpacing w:val="0"/>
              <w:rPr>
                <w:color w:val="FF0000"/>
                <w:sz w:val="16"/>
                <w:szCs w:val="16"/>
              </w:rPr>
            </w:pPr>
            <w:bookmarkStart w:id="1" w:name="_Hlk54596956"/>
            <w:r w:rsidRPr="0040736E">
              <w:rPr>
                <w:rFonts w:ascii="Verdana" w:hAnsi="Verdana"/>
                <w:b/>
                <w:bCs/>
                <w:color w:val="FF0000"/>
                <w:sz w:val="18"/>
                <w:szCs w:val="18"/>
                <w:lang w:val="es-ES_tradnl" w:eastAsia="es-ES"/>
              </w:rPr>
              <w:t xml:space="preserve">CAUSAS CON LA INSTRUCCIÓN PRORROGADA (antiguos </w:t>
            </w:r>
            <w:r w:rsidRPr="0040736E">
              <w:rPr>
                <w:rFonts w:ascii="Verdana" w:hAnsi="Verdana"/>
                <w:b/>
                <w:bCs/>
                <w:color w:val="FF0000"/>
                <w:sz w:val="16"/>
                <w:szCs w:val="16"/>
                <w:lang w:val="es-ES_tradnl" w:eastAsia="es-ES"/>
              </w:rPr>
              <w:t>ASUNTOS DE INSTRUCCIÓN COMPLEJA) (*)</w:t>
            </w:r>
          </w:p>
        </w:tc>
        <w:tc>
          <w:tcPr>
            <w:tcW w:w="702" w:type="pct"/>
            <w:tcBorders>
              <w:top w:val="double" w:sz="4" w:space="0" w:color="auto"/>
              <w:left w:val="nil"/>
              <w:bottom w:val="double" w:sz="4" w:space="0" w:color="000000"/>
              <w:right w:val="single" w:sz="8" w:space="0" w:color="000000"/>
            </w:tcBorders>
            <w:shd w:val="clear" w:color="auto" w:fill="BFBFBF"/>
            <w:tcMar>
              <w:top w:w="28" w:type="dxa"/>
              <w:left w:w="28" w:type="dxa"/>
              <w:bottom w:w="28" w:type="dxa"/>
              <w:right w:w="28" w:type="dxa"/>
            </w:tcMar>
            <w:vAlign w:val="center"/>
            <w:hideMark/>
          </w:tcPr>
          <w:p w14:paraId="6CB37523" w14:textId="77777777" w:rsidR="0040736E" w:rsidRPr="0040736E" w:rsidRDefault="0040736E" w:rsidP="00D817F7">
            <w:pPr>
              <w:keepNext/>
              <w:jc w:val="center"/>
              <w:rPr>
                <w:rFonts w:ascii="Verdana" w:hAnsi="Verdana"/>
                <w:b/>
                <w:bCs/>
                <w:color w:val="FF0000"/>
                <w:sz w:val="16"/>
                <w:szCs w:val="16"/>
                <w:lang w:val="es-ES_tradnl" w:eastAsia="es-ES"/>
              </w:rPr>
            </w:pPr>
            <w:r w:rsidRPr="0040736E">
              <w:rPr>
                <w:rFonts w:ascii="Verdana" w:hAnsi="Verdana"/>
                <w:b/>
                <w:bCs/>
                <w:color w:val="FF0000"/>
                <w:sz w:val="16"/>
                <w:szCs w:val="16"/>
                <w:lang w:val="es-ES_tradnl" w:eastAsia="es-ES"/>
              </w:rPr>
              <w:t>Pendientes trimestre anterior</w:t>
            </w:r>
          </w:p>
        </w:tc>
        <w:tc>
          <w:tcPr>
            <w:tcW w:w="702" w:type="pct"/>
            <w:tcBorders>
              <w:top w:val="double" w:sz="4" w:space="0" w:color="auto"/>
              <w:left w:val="nil"/>
              <w:bottom w:val="double" w:sz="4" w:space="0" w:color="000000"/>
              <w:right w:val="single" w:sz="8" w:space="0" w:color="000000"/>
            </w:tcBorders>
            <w:shd w:val="clear" w:color="auto" w:fill="BFBFBF"/>
            <w:tcMar>
              <w:top w:w="28" w:type="dxa"/>
              <w:left w:w="28" w:type="dxa"/>
              <w:bottom w:w="28" w:type="dxa"/>
              <w:right w:w="28" w:type="dxa"/>
            </w:tcMar>
            <w:vAlign w:val="center"/>
            <w:hideMark/>
          </w:tcPr>
          <w:p w14:paraId="3BA1B19B" w14:textId="77777777" w:rsidR="0040736E" w:rsidRPr="0040736E" w:rsidRDefault="0040736E" w:rsidP="00D817F7">
            <w:pPr>
              <w:keepNext/>
              <w:jc w:val="center"/>
              <w:rPr>
                <w:rFonts w:ascii="Verdana" w:hAnsi="Verdana"/>
                <w:b/>
                <w:bCs/>
                <w:color w:val="FF0000"/>
                <w:sz w:val="16"/>
                <w:szCs w:val="16"/>
                <w:lang w:val="es-ES_tradnl" w:eastAsia="es-ES"/>
              </w:rPr>
            </w:pPr>
            <w:r w:rsidRPr="0040736E">
              <w:rPr>
                <w:rFonts w:ascii="Verdana" w:hAnsi="Verdana"/>
                <w:b/>
                <w:bCs/>
                <w:color w:val="FF0000"/>
                <w:sz w:val="16"/>
                <w:szCs w:val="16"/>
                <w:lang w:val="es-ES_tradnl" w:eastAsia="es-ES"/>
              </w:rPr>
              <w:t>Declarados en el trimestre</w:t>
            </w:r>
          </w:p>
        </w:tc>
        <w:tc>
          <w:tcPr>
            <w:tcW w:w="702" w:type="pct"/>
            <w:tcBorders>
              <w:top w:val="double" w:sz="4" w:space="0" w:color="auto"/>
              <w:left w:val="nil"/>
              <w:bottom w:val="double" w:sz="4" w:space="0" w:color="000000"/>
              <w:right w:val="single" w:sz="8" w:space="0" w:color="000000"/>
            </w:tcBorders>
            <w:shd w:val="clear" w:color="auto" w:fill="BFBFBF"/>
            <w:tcMar>
              <w:top w:w="28" w:type="dxa"/>
              <w:left w:w="28" w:type="dxa"/>
              <w:bottom w:w="28" w:type="dxa"/>
              <w:right w:w="28" w:type="dxa"/>
            </w:tcMar>
            <w:vAlign w:val="center"/>
            <w:hideMark/>
          </w:tcPr>
          <w:p w14:paraId="452764BF" w14:textId="77777777" w:rsidR="0040736E" w:rsidRPr="0040736E" w:rsidRDefault="0040736E" w:rsidP="00D817F7">
            <w:pPr>
              <w:keepNext/>
              <w:jc w:val="center"/>
              <w:rPr>
                <w:rFonts w:ascii="Verdana" w:hAnsi="Verdana"/>
                <w:b/>
                <w:bCs/>
                <w:color w:val="FF0000"/>
                <w:sz w:val="16"/>
                <w:szCs w:val="16"/>
                <w:lang w:val="es-ES_tradnl" w:eastAsia="es-ES"/>
              </w:rPr>
            </w:pPr>
            <w:proofErr w:type="gramStart"/>
            <w:r w:rsidRPr="0040736E">
              <w:rPr>
                <w:rFonts w:ascii="Verdana" w:hAnsi="Verdana"/>
                <w:b/>
                <w:bCs/>
                <w:color w:val="FF0000"/>
                <w:sz w:val="16"/>
                <w:szCs w:val="16"/>
                <w:lang w:val="es-ES_tradnl" w:eastAsia="es-ES"/>
              </w:rPr>
              <w:t>Resueltos trimestre</w:t>
            </w:r>
            <w:proofErr w:type="gramEnd"/>
            <w:r w:rsidRPr="0040736E">
              <w:rPr>
                <w:rFonts w:ascii="Verdana" w:hAnsi="Verdana"/>
                <w:b/>
                <w:bCs/>
                <w:color w:val="FF0000"/>
                <w:sz w:val="16"/>
                <w:szCs w:val="16"/>
                <w:lang w:val="es-ES_tradnl" w:eastAsia="es-ES"/>
              </w:rPr>
              <w:t xml:space="preserve"> </w:t>
            </w:r>
          </w:p>
        </w:tc>
        <w:tc>
          <w:tcPr>
            <w:tcW w:w="702" w:type="pct"/>
            <w:tcBorders>
              <w:top w:val="double" w:sz="4" w:space="0" w:color="auto"/>
              <w:left w:val="nil"/>
              <w:bottom w:val="double" w:sz="4" w:space="0" w:color="000000"/>
              <w:right w:val="double" w:sz="4" w:space="0" w:color="auto"/>
            </w:tcBorders>
            <w:shd w:val="clear" w:color="auto" w:fill="BFBFBF"/>
            <w:tcMar>
              <w:top w:w="28" w:type="dxa"/>
              <w:left w:w="28" w:type="dxa"/>
              <w:bottom w:w="28" w:type="dxa"/>
              <w:right w:w="28" w:type="dxa"/>
            </w:tcMar>
            <w:vAlign w:val="center"/>
            <w:hideMark/>
          </w:tcPr>
          <w:p w14:paraId="1350BA46" w14:textId="77777777" w:rsidR="0040736E" w:rsidRPr="0040736E" w:rsidRDefault="0040736E" w:rsidP="00D817F7">
            <w:pPr>
              <w:keepNext/>
              <w:jc w:val="center"/>
              <w:rPr>
                <w:rFonts w:ascii="Verdana" w:hAnsi="Verdana"/>
                <w:b/>
                <w:bCs/>
                <w:color w:val="FF0000"/>
                <w:sz w:val="16"/>
                <w:szCs w:val="16"/>
                <w:lang w:val="es-ES_tradnl" w:eastAsia="es-ES"/>
              </w:rPr>
            </w:pPr>
            <w:r w:rsidRPr="0040736E">
              <w:rPr>
                <w:rFonts w:ascii="Verdana" w:hAnsi="Verdana"/>
                <w:b/>
                <w:bCs/>
                <w:color w:val="FF0000"/>
                <w:sz w:val="16"/>
                <w:szCs w:val="16"/>
                <w:lang w:val="es-ES_tradnl" w:eastAsia="es-ES"/>
              </w:rPr>
              <w:t>Pendientes final trimestre</w:t>
            </w:r>
          </w:p>
        </w:tc>
      </w:tr>
      <w:tr w:rsidR="0040736E" w:rsidRPr="0040736E" w14:paraId="08FABDB7" w14:textId="77777777" w:rsidTr="00D817F7">
        <w:trPr>
          <w:trHeight w:val="20"/>
          <w:jc w:val="center"/>
        </w:trPr>
        <w:tc>
          <w:tcPr>
            <w:tcW w:w="0" w:type="auto"/>
            <w:vMerge/>
            <w:tcBorders>
              <w:top w:val="double" w:sz="4" w:space="0" w:color="auto"/>
              <w:left w:val="double" w:sz="4" w:space="0" w:color="auto"/>
              <w:bottom w:val="double" w:sz="4" w:space="0" w:color="auto"/>
              <w:right w:val="single" w:sz="8" w:space="0" w:color="000000"/>
            </w:tcBorders>
            <w:vAlign w:val="center"/>
            <w:hideMark/>
          </w:tcPr>
          <w:p w14:paraId="6C78DB13" w14:textId="77777777" w:rsidR="0040736E" w:rsidRPr="0040736E" w:rsidRDefault="0040736E" w:rsidP="00D817F7">
            <w:pPr>
              <w:rPr>
                <w:rFonts w:ascii="Calibri" w:hAnsi="Calibri" w:cs="Calibri"/>
                <w:color w:val="FF0000"/>
                <w:sz w:val="16"/>
                <w:szCs w:val="16"/>
              </w:rPr>
            </w:pPr>
          </w:p>
        </w:tc>
        <w:tc>
          <w:tcPr>
            <w:tcW w:w="702" w:type="pct"/>
            <w:tcBorders>
              <w:top w:val="nil"/>
              <w:left w:val="nil"/>
              <w:bottom w:val="double" w:sz="4" w:space="0" w:color="auto"/>
              <w:right w:val="single" w:sz="8" w:space="0" w:color="auto"/>
            </w:tcBorders>
            <w:tcMar>
              <w:top w:w="28" w:type="dxa"/>
              <w:left w:w="28" w:type="dxa"/>
              <w:bottom w:w="28" w:type="dxa"/>
              <w:right w:w="28" w:type="dxa"/>
            </w:tcMar>
            <w:vAlign w:val="center"/>
          </w:tcPr>
          <w:p w14:paraId="73794A6E" w14:textId="77777777" w:rsidR="0040736E" w:rsidRPr="0040736E" w:rsidRDefault="0040736E" w:rsidP="00D817F7">
            <w:pPr>
              <w:jc w:val="center"/>
              <w:rPr>
                <w:rFonts w:ascii="Verdana" w:hAnsi="Verdana"/>
                <w:b/>
                <w:bCs/>
                <w:color w:val="FF0000"/>
                <w:sz w:val="18"/>
                <w:szCs w:val="18"/>
                <w:lang w:val="es-ES_tradnl" w:eastAsia="es-ES"/>
              </w:rPr>
            </w:pPr>
          </w:p>
        </w:tc>
        <w:tc>
          <w:tcPr>
            <w:tcW w:w="702" w:type="pct"/>
            <w:tcBorders>
              <w:top w:val="nil"/>
              <w:left w:val="nil"/>
              <w:bottom w:val="double" w:sz="4" w:space="0" w:color="auto"/>
              <w:right w:val="single" w:sz="8" w:space="0" w:color="auto"/>
            </w:tcBorders>
            <w:tcMar>
              <w:top w:w="28" w:type="dxa"/>
              <w:left w:w="28" w:type="dxa"/>
              <w:bottom w:w="28" w:type="dxa"/>
              <w:right w:w="28" w:type="dxa"/>
            </w:tcMar>
            <w:vAlign w:val="center"/>
          </w:tcPr>
          <w:p w14:paraId="0F2958C6" w14:textId="77777777" w:rsidR="0040736E" w:rsidRPr="0040736E" w:rsidRDefault="0040736E" w:rsidP="00D817F7">
            <w:pPr>
              <w:jc w:val="center"/>
              <w:rPr>
                <w:rFonts w:ascii="Verdana" w:hAnsi="Verdana"/>
                <w:b/>
                <w:bCs/>
                <w:color w:val="FF0000"/>
                <w:sz w:val="18"/>
                <w:szCs w:val="18"/>
                <w:lang w:val="es-ES_tradnl" w:eastAsia="es-ES"/>
              </w:rPr>
            </w:pPr>
          </w:p>
        </w:tc>
        <w:tc>
          <w:tcPr>
            <w:tcW w:w="702" w:type="pct"/>
            <w:tcBorders>
              <w:top w:val="nil"/>
              <w:left w:val="nil"/>
              <w:bottom w:val="double" w:sz="4" w:space="0" w:color="auto"/>
              <w:right w:val="single" w:sz="8" w:space="0" w:color="auto"/>
            </w:tcBorders>
            <w:tcMar>
              <w:top w:w="28" w:type="dxa"/>
              <w:left w:w="28" w:type="dxa"/>
              <w:bottom w:w="28" w:type="dxa"/>
              <w:right w:w="28" w:type="dxa"/>
            </w:tcMar>
            <w:vAlign w:val="center"/>
          </w:tcPr>
          <w:p w14:paraId="403F4C51" w14:textId="77777777" w:rsidR="0040736E" w:rsidRPr="0040736E" w:rsidRDefault="0040736E" w:rsidP="00D817F7">
            <w:pPr>
              <w:jc w:val="center"/>
              <w:rPr>
                <w:rFonts w:ascii="Verdana" w:hAnsi="Verdana"/>
                <w:b/>
                <w:bCs/>
                <w:color w:val="FF0000"/>
                <w:sz w:val="18"/>
                <w:szCs w:val="18"/>
                <w:lang w:val="es-ES_tradnl" w:eastAsia="es-ES"/>
              </w:rPr>
            </w:pPr>
          </w:p>
        </w:tc>
        <w:tc>
          <w:tcPr>
            <w:tcW w:w="702" w:type="pct"/>
            <w:tcBorders>
              <w:top w:val="nil"/>
              <w:left w:val="nil"/>
              <w:bottom w:val="double" w:sz="4" w:space="0" w:color="auto"/>
              <w:right w:val="double" w:sz="4" w:space="0" w:color="auto"/>
            </w:tcBorders>
            <w:tcMar>
              <w:top w:w="28" w:type="dxa"/>
              <w:left w:w="28" w:type="dxa"/>
              <w:bottom w:w="28" w:type="dxa"/>
              <w:right w:w="28" w:type="dxa"/>
            </w:tcMar>
            <w:vAlign w:val="center"/>
          </w:tcPr>
          <w:p w14:paraId="575F9598" w14:textId="77777777" w:rsidR="0040736E" w:rsidRPr="0040736E" w:rsidRDefault="0040736E" w:rsidP="00D817F7">
            <w:pPr>
              <w:jc w:val="center"/>
              <w:rPr>
                <w:rFonts w:ascii="Verdana" w:hAnsi="Verdana"/>
                <w:b/>
                <w:bCs/>
                <w:color w:val="FF0000"/>
                <w:sz w:val="18"/>
                <w:szCs w:val="18"/>
                <w:lang w:val="es-ES_tradnl" w:eastAsia="es-ES"/>
              </w:rPr>
            </w:pPr>
          </w:p>
        </w:tc>
      </w:tr>
      <w:bookmarkEnd w:id="1"/>
    </w:tbl>
    <w:p w14:paraId="164CD2A0" w14:textId="77777777" w:rsidR="0040736E" w:rsidRPr="0040736E" w:rsidRDefault="0040736E" w:rsidP="0040736E">
      <w:pPr>
        <w:rPr>
          <w:rFonts w:ascii="Calibri" w:hAnsi="Calibri" w:cs="Calibri"/>
          <w:color w:val="FF0000"/>
        </w:rPr>
      </w:pPr>
    </w:p>
    <w:p w14:paraId="52CA260E" w14:textId="76212661" w:rsidR="0040736E" w:rsidRPr="0040736E" w:rsidRDefault="0040736E">
      <w:pPr>
        <w:rPr>
          <w:color w:val="FF0000"/>
        </w:rPr>
      </w:pPr>
      <w:r w:rsidRPr="0040736E">
        <w:rPr>
          <w:color w:val="FF0000"/>
        </w:rPr>
        <w:t xml:space="preserve">(*) Se computarán como ingresados aquellos procesos en los que el juez haya dictado auto acordando la prórroga del plazo de investigación judicial. Este auto no tendrá en ningún caso la consideración de auto final; asimismo, se computarán como resueltos aquellos en los que haya concluido la instrucción; </w:t>
      </w:r>
      <w:proofErr w:type="gramStart"/>
      <w:r w:rsidRPr="0040736E">
        <w:rPr>
          <w:color w:val="FF0000"/>
        </w:rPr>
        <w:t>éstos</w:t>
      </w:r>
      <w:proofErr w:type="gramEnd"/>
      <w:r w:rsidRPr="0040736E">
        <w:rPr>
          <w:color w:val="FF0000"/>
        </w:rPr>
        <w:t xml:space="preserve"> asuntos, además, se computarán como resueltos en el  apartado 1.1.</w:t>
      </w:r>
    </w:p>
    <w:sectPr w:rsidR="0040736E" w:rsidRPr="0040736E" w:rsidSect="00645DF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DF3C4" w14:textId="77777777" w:rsidR="0055543C" w:rsidRDefault="0055543C" w:rsidP="00884A55">
      <w:pPr>
        <w:spacing w:after="0" w:line="240" w:lineRule="auto"/>
      </w:pPr>
      <w:r>
        <w:separator/>
      </w:r>
    </w:p>
  </w:endnote>
  <w:endnote w:type="continuationSeparator" w:id="0">
    <w:p w14:paraId="2CEA37DF" w14:textId="77777777" w:rsidR="0055543C" w:rsidRDefault="0055543C" w:rsidP="0088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41F9A" w14:textId="77777777" w:rsidR="0055543C" w:rsidRDefault="0055543C" w:rsidP="00884A55">
      <w:pPr>
        <w:spacing w:after="0" w:line="240" w:lineRule="auto"/>
      </w:pPr>
      <w:r>
        <w:separator/>
      </w:r>
    </w:p>
  </w:footnote>
  <w:footnote w:type="continuationSeparator" w:id="0">
    <w:p w14:paraId="44C9F1C3" w14:textId="77777777" w:rsidR="0055543C" w:rsidRDefault="0055543C" w:rsidP="0088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2AEC"/>
    <w:multiLevelType w:val="hybridMultilevel"/>
    <w:tmpl w:val="AF0CD7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115832"/>
    <w:multiLevelType w:val="hybridMultilevel"/>
    <w:tmpl w:val="7B84D6D6"/>
    <w:lvl w:ilvl="0" w:tplc="EFA63A22">
      <w:numFmt w:val="bullet"/>
      <w:lvlText w:val="-"/>
      <w:lvlJc w:val="left"/>
      <w:pPr>
        <w:ind w:left="720" w:hanging="360"/>
      </w:pPr>
      <w:rPr>
        <w:rFonts w:ascii="Calibri" w:eastAsia="Calibri" w:hAnsi="Calibri" w:cs="Calibri"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42D7DEE"/>
    <w:multiLevelType w:val="hybridMultilevel"/>
    <w:tmpl w:val="F17E2DE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6B1FD5"/>
    <w:multiLevelType w:val="multilevel"/>
    <w:tmpl w:val="7B36250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C2"/>
    <w:rsid w:val="00047A1C"/>
    <w:rsid w:val="000739D3"/>
    <w:rsid w:val="000C2C82"/>
    <w:rsid w:val="001210FE"/>
    <w:rsid w:val="001E6ED8"/>
    <w:rsid w:val="001F0AC1"/>
    <w:rsid w:val="00294B05"/>
    <w:rsid w:val="00307F16"/>
    <w:rsid w:val="00376579"/>
    <w:rsid w:val="003F19AE"/>
    <w:rsid w:val="0040736E"/>
    <w:rsid w:val="004F3B2D"/>
    <w:rsid w:val="0055543C"/>
    <w:rsid w:val="005C536D"/>
    <w:rsid w:val="005F78B0"/>
    <w:rsid w:val="00637DA2"/>
    <w:rsid w:val="00645DF5"/>
    <w:rsid w:val="00820F52"/>
    <w:rsid w:val="00884A55"/>
    <w:rsid w:val="008E252A"/>
    <w:rsid w:val="0091017A"/>
    <w:rsid w:val="00944DB7"/>
    <w:rsid w:val="009512A2"/>
    <w:rsid w:val="00A116F2"/>
    <w:rsid w:val="00B0270C"/>
    <w:rsid w:val="00BA5614"/>
    <w:rsid w:val="00CD4B98"/>
    <w:rsid w:val="00DA202F"/>
    <w:rsid w:val="00E10D66"/>
    <w:rsid w:val="00E726D2"/>
    <w:rsid w:val="00EB7A41"/>
    <w:rsid w:val="00ED43C2"/>
    <w:rsid w:val="00F64480"/>
    <w:rsid w:val="00FC7712"/>
    <w:rsid w:val="00FE28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CAAA"/>
  <w15:chartTrackingRefBased/>
  <w15:docId w15:val="{DE0A8023-9F9A-4CF2-B69B-85095020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3C2"/>
    <w:pPr>
      <w:spacing w:after="200" w:line="276" w:lineRule="auto"/>
    </w:pPr>
  </w:style>
  <w:style w:type="paragraph" w:styleId="Ttulo1">
    <w:name w:val="heading 1"/>
    <w:basedOn w:val="Normal"/>
    <w:next w:val="Normal"/>
    <w:link w:val="Ttulo1Car"/>
    <w:qFormat/>
    <w:rsid w:val="00376579"/>
    <w:pPr>
      <w:keepNext/>
      <w:spacing w:after="58" w:line="360" w:lineRule="auto"/>
      <w:jc w:val="center"/>
      <w:outlineLvl w:val="0"/>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884A55"/>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884A55"/>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376579"/>
    <w:rPr>
      <w:rFonts w:ascii="Times New Roman" w:eastAsia="Times New Roman" w:hAnsi="Times New Roman" w:cs="Times New Roman"/>
      <w:b/>
      <w:sz w:val="24"/>
      <w:szCs w:val="20"/>
      <w:lang w:val="es-ES_tradnl" w:eastAsia="es-ES"/>
    </w:rPr>
  </w:style>
  <w:style w:type="paragraph" w:styleId="Prrafodelista">
    <w:name w:val="List Paragraph"/>
    <w:basedOn w:val="Normal"/>
    <w:uiPriority w:val="34"/>
    <w:qFormat/>
    <w:rsid w:val="00FE28C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ombra superior">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Ángeles González García</dc:creator>
  <cp:keywords/>
  <dc:description/>
  <cp:lastModifiedBy>Ildefonso Villán Criado</cp:lastModifiedBy>
  <cp:revision>3</cp:revision>
  <dcterms:created xsi:type="dcterms:W3CDTF">2020-12-21T10:41:00Z</dcterms:created>
  <dcterms:modified xsi:type="dcterms:W3CDTF">2020-12-21T10:42:00Z</dcterms:modified>
</cp:coreProperties>
</file>