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4EB7" w:rsidRDefault="008E4EB7" w:rsidP="008E4EB7">
      <w:pPr>
        <w:spacing w:after="0" w:line="240" w:lineRule="auto"/>
        <w:jc w:val="center"/>
        <w:rPr>
          <w:rFonts w:ascii="Calibri" w:eastAsia="Calibri" w:hAnsi="Calibri" w:cs="Calibri"/>
          <w:b/>
          <w:sz w:val="20"/>
          <w:szCs w:val="20"/>
          <w:u w:val="single"/>
        </w:rPr>
      </w:pPr>
      <w:r w:rsidRPr="008E4EB7">
        <w:rPr>
          <w:rFonts w:ascii="Calibri" w:eastAsia="Calibri" w:hAnsi="Calibri" w:cs="Calibri"/>
          <w:b/>
          <w:sz w:val="20"/>
          <w:szCs w:val="20"/>
          <w:u w:val="single"/>
        </w:rPr>
        <w:t>INFORMACIÓN FUNCIONAMIENTO EN</w:t>
      </w:r>
      <w:r w:rsidR="00181B94">
        <w:rPr>
          <w:rFonts w:ascii="Calibri" w:eastAsia="Calibri" w:hAnsi="Calibri" w:cs="Calibri"/>
          <w:b/>
          <w:sz w:val="20"/>
          <w:szCs w:val="20"/>
          <w:u w:val="single"/>
        </w:rPr>
        <w:t>TORNO</w:t>
      </w:r>
      <w:bookmarkStart w:id="0" w:name="_GoBack"/>
      <w:bookmarkEnd w:id="0"/>
      <w:r w:rsidRPr="008E4EB7">
        <w:rPr>
          <w:rFonts w:ascii="Calibri" w:eastAsia="Calibri" w:hAnsi="Calibri" w:cs="Calibri"/>
          <w:b/>
          <w:sz w:val="20"/>
          <w:szCs w:val="20"/>
          <w:u w:val="single"/>
        </w:rPr>
        <w:t xml:space="preserve"> PUENTE</w:t>
      </w:r>
      <w:r>
        <w:rPr>
          <w:rFonts w:ascii="Calibri" w:eastAsia="Calibri" w:hAnsi="Calibri" w:cs="Calibri"/>
          <w:b/>
          <w:sz w:val="20"/>
          <w:szCs w:val="20"/>
          <w:u w:val="single"/>
        </w:rPr>
        <w:t xml:space="preserve"> SIRAJ-2</w:t>
      </w:r>
    </w:p>
    <w:p w:rsidR="0081280A" w:rsidRPr="0081280A" w:rsidRDefault="0081280A" w:rsidP="0081280A">
      <w:pPr>
        <w:spacing w:after="0" w:line="240" w:lineRule="auto"/>
        <w:rPr>
          <w:rFonts w:ascii="Calibri" w:eastAsia="Calibri" w:hAnsi="Calibri" w:cs="Calibri"/>
          <w:sz w:val="20"/>
          <w:szCs w:val="20"/>
        </w:rPr>
      </w:pPr>
    </w:p>
    <w:p w:rsidR="0081280A" w:rsidRPr="0081280A" w:rsidRDefault="0081280A" w:rsidP="0081280A">
      <w:pPr>
        <w:spacing w:after="0" w:line="240" w:lineRule="auto"/>
        <w:rPr>
          <w:rFonts w:ascii="Calibri" w:eastAsia="Calibri" w:hAnsi="Calibri" w:cs="Calibri"/>
          <w:sz w:val="20"/>
          <w:szCs w:val="20"/>
        </w:rPr>
      </w:pPr>
    </w:p>
    <w:p w:rsidR="0081280A" w:rsidRPr="0081280A" w:rsidRDefault="0081280A" w:rsidP="0081280A">
      <w:pPr>
        <w:numPr>
          <w:ilvl w:val="0"/>
          <w:numId w:val="1"/>
        </w:numPr>
        <w:spacing w:after="0" w:line="240" w:lineRule="auto"/>
        <w:rPr>
          <w:rFonts w:ascii="Calibri" w:eastAsia="Times New Roman" w:hAnsi="Calibri" w:cs="Calibri"/>
          <w:sz w:val="20"/>
          <w:szCs w:val="20"/>
        </w:rPr>
      </w:pPr>
      <w:r w:rsidRPr="0081280A">
        <w:rPr>
          <w:rFonts w:ascii="Calibri" w:eastAsia="Times New Roman" w:hAnsi="Calibri" w:cs="Calibri"/>
          <w:sz w:val="20"/>
          <w:szCs w:val="20"/>
        </w:rPr>
        <w:t xml:space="preserve">SIRAJ2 estará disponible en el entorno que hemos llamado “PUENTE”, en el que va a ser posible llevar a cabo una </w:t>
      </w:r>
      <w:r w:rsidRPr="0081280A">
        <w:rPr>
          <w:rFonts w:ascii="Calibri" w:eastAsia="Times New Roman" w:hAnsi="Calibri" w:cs="Calibri"/>
          <w:sz w:val="20"/>
          <w:szCs w:val="20"/>
          <w:u w:val="single"/>
        </w:rPr>
        <w:t>experiencia auto-formativa</w:t>
      </w:r>
      <w:r w:rsidRPr="0081280A">
        <w:rPr>
          <w:rFonts w:ascii="Calibri" w:eastAsia="Times New Roman" w:hAnsi="Calibri" w:cs="Calibri"/>
          <w:sz w:val="20"/>
          <w:szCs w:val="20"/>
        </w:rPr>
        <w:t xml:space="preserve"> por parte de los Letrados de la Administración de Justicia y algún colectivo muy específico como el formado por los usuarios de Gerencias Territoriales.</w:t>
      </w:r>
    </w:p>
    <w:p w:rsidR="0081280A" w:rsidRPr="0081280A" w:rsidRDefault="0081280A" w:rsidP="0081280A">
      <w:pPr>
        <w:spacing w:after="0" w:line="240" w:lineRule="auto"/>
        <w:ind w:left="720"/>
        <w:rPr>
          <w:rFonts w:ascii="Calibri" w:eastAsia="Calibri" w:hAnsi="Calibri" w:cs="Calibri"/>
          <w:sz w:val="20"/>
          <w:szCs w:val="20"/>
        </w:rPr>
      </w:pPr>
    </w:p>
    <w:p w:rsidR="0081280A" w:rsidRPr="0081280A" w:rsidRDefault="0081280A" w:rsidP="0081280A">
      <w:pPr>
        <w:numPr>
          <w:ilvl w:val="0"/>
          <w:numId w:val="1"/>
        </w:numPr>
        <w:spacing w:after="0" w:line="240" w:lineRule="auto"/>
        <w:rPr>
          <w:rFonts w:ascii="Calibri" w:eastAsia="Times New Roman" w:hAnsi="Calibri" w:cs="Calibri"/>
          <w:sz w:val="20"/>
          <w:szCs w:val="20"/>
        </w:rPr>
      </w:pPr>
      <w:r w:rsidRPr="0081280A">
        <w:rPr>
          <w:rFonts w:ascii="Calibri" w:eastAsia="Times New Roman" w:hAnsi="Calibri" w:cs="Calibri"/>
          <w:sz w:val="20"/>
          <w:szCs w:val="20"/>
          <w:u w:val="single"/>
        </w:rPr>
        <w:t>El acceso</w:t>
      </w:r>
      <w:r w:rsidRPr="0081280A">
        <w:rPr>
          <w:rFonts w:ascii="Calibri" w:eastAsia="Times New Roman" w:hAnsi="Calibri" w:cs="Calibri"/>
          <w:sz w:val="20"/>
          <w:szCs w:val="20"/>
        </w:rPr>
        <w:t xml:space="preserve"> a la aplicación en el entorno “PUENTE” se realizará por medio de la dirección </w:t>
      </w:r>
      <w:hyperlink r:id="rId5" w:history="1">
        <w:r w:rsidRPr="0081280A">
          <w:rPr>
            <w:rFonts w:ascii="Calibri" w:eastAsia="Times New Roman" w:hAnsi="Calibri" w:cs="Calibri"/>
            <w:color w:val="0563C1"/>
            <w:sz w:val="20"/>
            <w:szCs w:val="20"/>
            <w:u w:val="single"/>
          </w:rPr>
          <w:t>https://siraj2puentefw3.justicia.es</w:t>
        </w:r>
      </w:hyperlink>
      <w:r w:rsidRPr="0081280A">
        <w:rPr>
          <w:rFonts w:ascii="Calibri" w:eastAsia="Times New Roman" w:hAnsi="Calibri" w:cs="Calibri"/>
          <w:sz w:val="20"/>
          <w:szCs w:val="20"/>
        </w:rPr>
        <w:t xml:space="preserve"> </w:t>
      </w:r>
    </w:p>
    <w:p w:rsidR="0081280A" w:rsidRPr="0081280A" w:rsidRDefault="0081280A" w:rsidP="0081280A">
      <w:pPr>
        <w:spacing w:after="0" w:line="240" w:lineRule="auto"/>
        <w:ind w:left="720"/>
        <w:rPr>
          <w:rFonts w:ascii="Calibri" w:eastAsia="Calibri" w:hAnsi="Calibri" w:cs="Calibri"/>
          <w:sz w:val="20"/>
          <w:szCs w:val="20"/>
        </w:rPr>
      </w:pPr>
    </w:p>
    <w:p w:rsidR="0081280A" w:rsidRPr="0081280A" w:rsidRDefault="0081280A" w:rsidP="0081280A">
      <w:pPr>
        <w:numPr>
          <w:ilvl w:val="0"/>
          <w:numId w:val="1"/>
        </w:numPr>
        <w:spacing w:after="0" w:line="240" w:lineRule="auto"/>
        <w:rPr>
          <w:rFonts w:ascii="Calibri" w:eastAsia="Times New Roman" w:hAnsi="Calibri" w:cs="Calibri"/>
          <w:sz w:val="20"/>
          <w:szCs w:val="20"/>
        </w:rPr>
      </w:pPr>
      <w:r w:rsidRPr="0081280A">
        <w:rPr>
          <w:rFonts w:ascii="Calibri" w:eastAsia="Times New Roman" w:hAnsi="Calibri" w:cs="Calibri"/>
          <w:sz w:val="20"/>
          <w:szCs w:val="20"/>
        </w:rPr>
        <w:t xml:space="preserve">Será necesario disponer de credenciales (usuario y contraseña), no estando disponible el acceso por medio de certificado digital. Es muy importante recordar que las </w:t>
      </w:r>
      <w:r w:rsidRPr="0081280A">
        <w:rPr>
          <w:rFonts w:ascii="Calibri" w:eastAsia="Times New Roman" w:hAnsi="Calibri" w:cs="Calibri"/>
          <w:sz w:val="20"/>
          <w:szCs w:val="20"/>
          <w:u w:val="single"/>
        </w:rPr>
        <w:t>credenciales son personales e intransferibles</w:t>
      </w:r>
      <w:r w:rsidRPr="0081280A">
        <w:rPr>
          <w:rFonts w:ascii="Calibri" w:eastAsia="Times New Roman" w:hAnsi="Calibri" w:cs="Calibri"/>
          <w:sz w:val="20"/>
          <w:szCs w:val="20"/>
        </w:rPr>
        <w:t xml:space="preserve"> ya que son las mismas con las que se accederá al entorno de Producción. </w:t>
      </w:r>
    </w:p>
    <w:p w:rsidR="0081280A" w:rsidRPr="0081280A" w:rsidRDefault="0081280A" w:rsidP="0081280A">
      <w:pPr>
        <w:spacing w:after="0" w:line="240" w:lineRule="auto"/>
        <w:ind w:left="720"/>
        <w:rPr>
          <w:rFonts w:ascii="Calibri" w:eastAsia="Calibri" w:hAnsi="Calibri" w:cs="Calibri"/>
          <w:sz w:val="20"/>
          <w:szCs w:val="20"/>
        </w:rPr>
      </w:pPr>
    </w:p>
    <w:p w:rsidR="0081280A" w:rsidRPr="0081280A" w:rsidRDefault="0081280A" w:rsidP="0081280A">
      <w:pPr>
        <w:numPr>
          <w:ilvl w:val="0"/>
          <w:numId w:val="1"/>
        </w:numPr>
        <w:spacing w:after="0" w:line="240" w:lineRule="auto"/>
        <w:rPr>
          <w:rFonts w:ascii="Calibri" w:eastAsia="Times New Roman" w:hAnsi="Calibri" w:cs="Calibri"/>
          <w:sz w:val="20"/>
          <w:szCs w:val="20"/>
        </w:rPr>
      </w:pPr>
      <w:r w:rsidRPr="0081280A">
        <w:rPr>
          <w:rFonts w:ascii="Calibri" w:eastAsia="Times New Roman" w:hAnsi="Calibri" w:cs="Calibri"/>
          <w:sz w:val="20"/>
          <w:szCs w:val="20"/>
        </w:rPr>
        <w:t xml:space="preserve">La aplicación </w:t>
      </w:r>
      <w:r w:rsidRPr="0081280A">
        <w:rPr>
          <w:rFonts w:ascii="Calibri" w:eastAsia="Times New Roman" w:hAnsi="Calibri" w:cs="Calibri"/>
          <w:sz w:val="20"/>
          <w:szCs w:val="20"/>
          <w:u w:val="single"/>
        </w:rPr>
        <w:t>no estará disponible desde Internet</w:t>
      </w:r>
      <w:r w:rsidRPr="0081280A">
        <w:rPr>
          <w:rFonts w:ascii="Calibri" w:eastAsia="Times New Roman" w:hAnsi="Calibri" w:cs="Calibri"/>
          <w:sz w:val="20"/>
          <w:szCs w:val="20"/>
        </w:rPr>
        <w:t>, tan solo desde los puestos de trabajo conectados en la red interna.</w:t>
      </w:r>
    </w:p>
    <w:p w:rsidR="0081280A" w:rsidRPr="0081280A" w:rsidRDefault="0081280A" w:rsidP="0081280A">
      <w:pPr>
        <w:spacing w:after="0" w:line="240" w:lineRule="auto"/>
        <w:ind w:left="720"/>
        <w:rPr>
          <w:rFonts w:ascii="Calibri" w:eastAsia="Calibri" w:hAnsi="Calibri" w:cs="Calibri"/>
          <w:sz w:val="20"/>
          <w:szCs w:val="20"/>
        </w:rPr>
      </w:pPr>
    </w:p>
    <w:p w:rsidR="0081280A" w:rsidRPr="0081280A" w:rsidRDefault="0081280A" w:rsidP="0081280A">
      <w:pPr>
        <w:numPr>
          <w:ilvl w:val="0"/>
          <w:numId w:val="1"/>
        </w:numPr>
        <w:spacing w:after="0" w:line="240" w:lineRule="auto"/>
        <w:rPr>
          <w:rFonts w:ascii="Calibri" w:eastAsia="Times New Roman" w:hAnsi="Calibri" w:cs="Calibri"/>
          <w:sz w:val="20"/>
          <w:szCs w:val="20"/>
        </w:rPr>
      </w:pPr>
      <w:r w:rsidRPr="0081280A">
        <w:rPr>
          <w:rFonts w:ascii="Calibri" w:eastAsia="Times New Roman" w:hAnsi="Calibri" w:cs="Calibri"/>
          <w:sz w:val="20"/>
          <w:szCs w:val="20"/>
        </w:rPr>
        <w:t xml:space="preserve">Se podrá acceder usando cualquier navegador del puesto de trabajo, aunque es altamente recomendable </w:t>
      </w:r>
      <w:r w:rsidRPr="0081280A">
        <w:rPr>
          <w:rFonts w:ascii="Calibri" w:eastAsia="Times New Roman" w:hAnsi="Calibri" w:cs="Calibri"/>
          <w:sz w:val="20"/>
          <w:szCs w:val="20"/>
          <w:u w:val="single"/>
        </w:rPr>
        <w:t>no usar Internet Explorer (IE)</w:t>
      </w:r>
      <w:r w:rsidRPr="0081280A">
        <w:rPr>
          <w:rFonts w:ascii="Calibri" w:eastAsia="Times New Roman" w:hAnsi="Calibri" w:cs="Calibri"/>
          <w:sz w:val="20"/>
          <w:szCs w:val="20"/>
        </w:rPr>
        <w:t>, ya que en breve va a ser desinstalado tras haber dado por finalizado el soporte la empresa propietaria y por esa razón, SIRAJ2 no ha sido optimizada para él.</w:t>
      </w:r>
    </w:p>
    <w:p w:rsidR="0081280A" w:rsidRPr="0081280A" w:rsidRDefault="0081280A" w:rsidP="0081280A">
      <w:pPr>
        <w:spacing w:after="0" w:line="240" w:lineRule="auto"/>
        <w:ind w:left="720"/>
        <w:rPr>
          <w:rFonts w:ascii="Calibri" w:eastAsia="Calibri" w:hAnsi="Calibri" w:cs="Calibri"/>
          <w:sz w:val="20"/>
          <w:szCs w:val="20"/>
        </w:rPr>
      </w:pPr>
    </w:p>
    <w:p w:rsidR="0081280A" w:rsidRPr="0081280A" w:rsidRDefault="0081280A" w:rsidP="0081280A">
      <w:pPr>
        <w:numPr>
          <w:ilvl w:val="0"/>
          <w:numId w:val="1"/>
        </w:numPr>
        <w:spacing w:after="0" w:line="240" w:lineRule="auto"/>
        <w:rPr>
          <w:rFonts w:ascii="Calibri" w:eastAsia="Times New Roman" w:hAnsi="Calibri" w:cs="Calibri"/>
          <w:sz w:val="20"/>
          <w:szCs w:val="20"/>
        </w:rPr>
      </w:pPr>
      <w:r w:rsidRPr="0081280A">
        <w:rPr>
          <w:rFonts w:ascii="Calibri" w:eastAsia="Times New Roman" w:hAnsi="Calibri" w:cs="Calibri"/>
          <w:sz w:val="20"/>
          <w:szCs w:val="20"/>
        </w:rPr>
        <w:t>A fin de evitar errores y diferenciar de forma rápida SIRAJ2 en el entorno “PUENTE” de SIRAJ2 en el entorno de Producción, el fondo de la página inicial de “PUENTE” es de un color rojo pálido y en la esquina superior derecha aparece el texto “</w:t>
      </w:r>
      <w:proofErr w:type="spellStart"/>
      <w:proofErr w:type="gramStart"/>
      <w:r w:rsidRPr="0081280A">
        <w:rPr>
          <w:rFonts w:ascii="Calibri" w:eastAsia="Times New Roman" w:hAnsi="Calibri" w:cs="Calibri"/>
          <w:sz w:val="20"/>
          <w:szCs w:val="20"/>
        </w:rPr>
        <w:t>Entorno:PUENTE</w:t>
      </w:r>
      <w:proofErr w:type="spellEnd"/>
      <w:proofErr w:type="gramEnd"/>
      <w:r w:rsidRPr="0081280A">
        <w:rPr>
          <w:rFonts w:ascii="Calibri" w:eastAsia="Times New Roman" w:hAnsi="Calibri" w:cs="Calibri"/>
          <w:sz w:val="20"/>
          <w:szCs w:val="20"/>
        </w:rPr>
        <w:t>”, a diferencia del entorno de Producción cuyo fondo de la página inicial es blanco y en la esquina superior derecha muestra el texto “</w:t>
      </w:r>
      <w:proofErr w:type="spellStart"/>
      <w:r w:rsidRPr="0081280A">
        <w:rPr>
          <w:rFonts w:ascii="Calibri" w:eastAsia="Times New Roman" w:hAnsi="Calibri" w:cs="Calibri"/>
          <w:sz w:val="20"/>
          <w:szCs w:val="20"/>
        </w:rPr>
        <w:t>Entorno:Producción</w:t>
      </w:r>
      <w:proofErr w:type="spellEnd"/>
      <w:r w:rsidRPr="0081280A">
        <w:rPr>
          <w:rFonts w:ascii="Calibri" w:eastAsia="Times New Roman" w:hAnsi="Calibri" w:cs="Calibri"/>
          <w:sz w:val="20"/>
          <w:szCs w:val="20"/>
        </w:rPr>
        <w:t>”.</w:t>
      </w:r>
    </w:p>
    <w:p w:rsidR="0081280A" w:rsidRPr="0081280A" w:rsidRDefault="0081280A" w:rsidP="0081280A">
      <w:pPr>
        <w:spacing w:after="0" w:line="240" w:lineRule="auto"/>
        <w:ind w:left="720"/>
        <w:rPr>
          <w:rFonts w:ascii="Calibri" w:eastAsia="Calibri" w:hAnsi="Calibri" w:cs="Calibri"/>
          <w:sz w:val="20"/>
          <w:szCs w:val="20"/>
        </w:rPr>
      </w:pPr>
    </w:p>
    <w:p w:rsidR="0081280A" w:rsidRPr="0081280A" w:rsidRDefault="0081280A" w:rsidP="0081280A">
      <w:pPr>
        <w:spacing w:after="0" w:line="240" w:lineRule="auto"/>
        <w:ind w:left="720"/>
        <w:rPr>
          <w:rFonts w:ascii="Calibri" w:eastAsia="Calibri" w:hAnsi="Calibri" w:cs="Calibri"/>
          <w:b/>
          <w:bCs/>
          <w:color w:val="70AD47" w:themeColor="accent6"/>
          <w:sz w:val="20"/>
          <w:szCs w:val="20"/>
          <w:u w:val="single"/>
        </w:rPr>
      </w:pPr>
      <w:r w:rsidRPr="0081280A">
        <w:rPr>
          <w:rFonts w:ascii="Calibri" w:eastAsia="Calibri" w:hAnsi="Calibri" w:cs="Calibri"/>
          <w:b/>
          <w:bCs/>
          <w:color w:val="70AD47" w:themeColor="accent6"/>
          <w:sz w:val="20"/>
          <w:szCs w:val="20"/>
          <w:u w:val="single"/>
        </w:rPr>
        <w:t>Entorno PUENTE:</w:t>
      </w:r>
    </w:p>
    <w:p w:rsidR="0081280A" w:rsidRPr="0081280A" w:rsidRDefault="0081280A" w:rsidP="0081280A">
      <w:pPr>
        <w:spacing w:after="0" w:line="240" w:lineRule="auto"/>
        <w:ind w:left="720"/>
        <w:rPr>
          <w:rFonts w:ascii="Calibri" w:eastAsia="Calibri" w:hAnsi="Calibri" w:cs="Calibri"/>
          <w:sz w:val="20"/>
          <w:szCs w:val="20"/>
        </w:rPr>
      </w:pPr>
      <w:r w:rsidRPr="0081280A">
        <w:rPr>
          <w:rFonts w:ascii="Calibri" w:eastAsia="Calibri" w:hAnsi="Calibri" w:cs="Calibri"/>
          <w:noProof/>
          <w:sz w:val="20"/>
          <w:szCs w:val="20"/>
          <w:lang w:eastAsia="es-ES"/>
        </w:rPr>
        <w:drawing>
          <wp:inline distT="0" distB="0" distL="0" distR="0" wp14:anchorId="577DFE4E" wp14:editId="5F4B1B55">
            <wp:extent cx="4834042" cy="1575398"/>
            <wp:effectExtent l="0" t="0" r="5080" b="6350"/>
            <wp:docPr id="9" name="Imagen 14" descr="cid:image001.png@01D8615A.EA2E18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4" descr="cid:image001.png@01D8615A.EA2E1870"/>
                    <pic:cNvPicPr>
                      <a:picLocks noChangeAspect="1" noChangeArrowheads="1"/>
                    </pic:cNvPicPr>
                  </pic:nvPicPr>
                  <pic:blipFill>
                    <a:blip r:embed="rId6" r:link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5213" cy="15822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280A" w:rsidRPr="0081280A" w:rsidRDefault="0081280A" w:rsidP="0081280A">
      <w:pPr>
        <w:spacing w:after="0" w:line="240" w:lineRule="auto"/>
        <w:ind w:left="720"/>
        <w:rPr>
          <w:rFonts w:ascii="Calibri" w:eastAsia="Calibri" w:hAnsi="Calibri" w:cs="Calibri"/>
          <w:sz w:val="20"/>
          <w:szCs w:val="20"/>
        </w:rPr>
      </w:pPr>
    </w:p>
    <w:p w:rsidR="0081280A" w:rsidRPr="0081280A" w:rsidRDefault="0081280A" w:rsidP="0081280A">
      <w:pPr>
        <w:spacing w:after="0" w:line="240" w:lineRule="auto"/>
        <w:ind w:left="720"/>
        <w:rPr>
          <w:rFonts w:ascii="Calibri" w:eastAsia="Calibri" w:hAnsi="Calibri" w:cs="Calibri"/>
          <w:b/>
          <w:bCs/>
          <w:color w:val="70AD47" w:themeColor="accent6"/>
          <w:sz w:val="20"/>
          <w:szCs w:val="20"/>
        </w:rPr>
      </w:pPr>
      <w:r w:rsidRPr="0081280A">
        <w:rPr>
          <w:rFonts w:ascii="Calibri" w:eastAsia="Calibri" w:hAnsi="Calibri" w:cs="Calibri"/>
          <w:b/>
          <w:bCs/>
          <w:color w:val="70AD47" w:themeColor="accent6"/>
          <w:sz w:val="20"/>
          <w:szCs w:val="20"/>
          <w:u w:val="single"/>
        </w:rPr>
        <w:t>Entorno de PRODUCCIÓN</w:t>
      </w:r>
      <w:r w:rsidRPr="0081280A">
        <w:rPr>
          <w:rFonts w:ascii="Calibri" w:eastAsia="Calibri" w:hAnsi="Calibri" w:cs="Calibri"/>
          <w:b/>
          <w:bCs/>
          <w:color w:val="70AD47" w:themeColor="accent6"/>
          <w:sz w:val="20"/>
          <w:szCs w:val="20"/>
        </w:rPr>
        <w:t>:</w:t>
      </w:r>
    </w:p>
    <w:p w:rsidR="0081280A" w:rsidRPr="0081280A" w:rsidRDefault="0081280A" w:rsidP="0081280A">
      <w:pPr>
        <w:spacing w:after="0" w:line="240" w:lineRule="auto"/>
        <w:ind w:left="720"/>
        <w:rPr>
          <w:rFonts w:ascii="Calibri" w:eastAsia="Calibri" w:hAnsi="Calibri" w:cs="Calibri"/>
          <w:sz w:val="20"/>
          <w:szCs w:val="20"/>
        </w:rPr>
      </w:pPr>
      <w:r w:rsidRPr="0081280A">
        <w:rPr>
          <w:rFonts w:ascii="Calibri" w:eastAsia="Calibri" w:hAnsi="Calibri" w:cs="Calibri"/>
          <w:noProof/>
          <w:sz w:val="20"/>
          <w:szCs w:val="20"/>
          <w:lang w:eastAsia="es-ES"/>
        </w:rPr>
        <w:drawing>
          <wp:inline distT="0" distB="0" distL="0" distR="0" wp14:anchorId="1791C7C9" wp14:editId="63A4769C">
            <wp:extent cx="5262698" cy="2093330"/>
            <wp:effectExtent l="0" t="0" r="0" b="2540"/>
            <wp:docPr id="10" name="Imagen 16" descr="cid:image003.png@01D8616A.87977F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6" descr="cid:image003.png@01D8616A.87977F70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8084" cy="21113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280A" w:rsidRPr="0081280A" w:rsidRDefault="0081280A" w:rsidP="0081280A">
      <w:pPr>
        <w:numPr>
          <w:ilvl w:val="0"/>
          <w:numId w:val="1"/>
        </w:numPr>
        <w:spacing w:after="0" w:line="240" w:lineRule="auto"/>
        <w:rPr>
          <w:rFonts w:ascii="Calibri" w:eastAsia="Times New Roman" w:hAnsi="Calibri" w:cs="Calibri"/>
          <w:sz w:val="20"/>
          <w:szCs w:val="20"/>
        </w:rPr>
      </w:pPr>
      <w:r w:rsidRPr="0081280A">
        <w:rPr>
          <w:rFonts w:ascii="Calibri" w:eastAsia="Times New Roman" w:hAnsi="Calibri" w:cs="Calibri"/>
          <w:sz w:val="20"/>
          <w:szCs w:val="20"/>
        </w:rPr>
        <w:lastRenderedPageBreak/>
        <w:t xml:space="preserve">Los usuarios habilitados dispondrán de una versión de la aplicación con las mismas opciones que la versión que tendrán a su disposición el día </w:t>
      </w:r>
      <w:r w:rsidRPr="0081280A">
        <w:rPr>
          <w:rFonts w:ascii="Calibri" w:eastAsia="Times New Roman" w:hAnsi="Calibri" w:cs="Calibri"/>
          <w:i/>
          <w:iCs/>
          <w:sz w:val="20"/>
          <w:szCs w:val="20"/>
        </w:rPr>
        <w:t>“</w:t>
      </w:r>
      <w:proofErr w:type="spellStart"/>
      <w:r w:rsidRPr="0081280A">
        <w:rPr>
          <w:rFonts w:ascii="Calibri" w:eastAsia="Times New Roman" w:hAnsi="Calibri" w:cs="Calibri"/>
          <w:i/>
          <w:iCs/>
          <w:sz w:val="20"/>
          <w:szCs w:val="20"/>
        </w:rPr>
        <w:t>dd</w:t>
      </w:r>
      <w:proofErr w:type="spellEnd"/>
      <w:r w:rsidRPr="0081280A">
        <w:rPr>
          <w:rFonts w:ascii="Calibri" w:eastAsia="Times New Roman" w:hAnsi="Calibri" w:cs="Calibri"/>
          <w:i/>
          <w:iCs/>
          <w:sz w:val="20"/>
          <w:szCs w:val="20"/>
        </w:rPr>
        <w:t>/mm/</w:t>
      </w:r>
      <w:proofErr w:type="spellStart"/>
      <w:r w:rsidRPr="0081280A">
        <w:rPr>
          <w:rFonts w:ascii="Calibri" w:eastAsia="Times New Roman" w:hAnsi="Calibri" w:cs="Calibri"/>
          <w:i/>
          <w:iCs/>
          <w:sz w:val="20"/>
          <w:szCs w:val="20"/>
        </w:rPr>
        <w:t>yyyy</w:t>
      </w:r>
      <w:proofErr w:type="spellEnd"/>
      <w:r w:rsidRPr="0081280A">
        <w:rPr>
          <w:rFonts w:ascii="Calibri" w:eastAsia="Times New Roman" w:hAnsi="Calibri" w:cs="Calibri"/>
          <w:i/>
          <w:iCs/>
          <w:sz w:val="20"/>
          <w:szCs w:val="20"/>
        </w:rPr>
        <w:t>” (por ahora sigue siendo el día 27 de junio)</w:t>
      </w:r>
      <w:r w:rsidRPr="0081280A">
        <w:rPr>
          <w:rFonts w:ascii="Calibri" w:eastAsia="Times New Roman" w:hAnsi="Calibri" w:cs="Calibri"/>
          <w:sz w:val="20"/>
          <w:szCs w:val="20"/>
        </w:rPr>
        <w:t xml:space="preserve"> pero con </w:t>
      </w:r>
      <w:r w:rsidRPr="0081280A">
        <w:rPr>
          <w:rFonts w:ascii="Calibri" w:eastAsia="Times New Roman" w:hAnsi="Calibri" w:cs="Calibri"/>
          <w:sz w:val="20"/>
          <w:szCs w:val="20"/>
          <w:u w:val="single"/>
        </w:rPr>
        <w:t>ciertos servicios desactivados</w:t>
      </w:r>
      <w:r w:rsidRPr="0081280A">
        <w:rPr>
          <w:rFonts w:ascii="Calibri" w:eastAsia="Times New Roman" w:hAnsi="Calibri" w:cs="Calibri"/>
          <w:sz w:val="20"/>
          <w:szCs w:val="20"/>
        </w:rPr>
        <w:t xml:space="preserve"> entre los que se incluyen los relacionados con el </w:t>
      </w:r>
      <w:r w:rsidRPr="0081280A">
        <w:rPr>
          <w:rFonts w:ascii="Calibri" w:eastAsia="Times New Roman" w:hAnsi="Calibri" w:cs="Calibri"/>
          <w:sz w:val="20"/>
          <w:szCs w:val="20"/>
          <w:u w:val="single"/>
        </w:rPr>
        <w:t>Fondo Documental de Requisitorias</w:t>
      </w:r>
      <w:r w:rsidRPr="0081280A">
        <w:rPr>
          <w:rFonts w:ascii="Calibri" w:eastAsia="Times New Roman" w:hAnsi="Calibri" w:cs="Calibri"/>
          <w:sz w:val="20"/>
          <w:szCs w:val="20"/>
        </w:rPr>
        <w:t xml:space="preserve">, los relacionados con </w:t>
      </w:r>
      <w:r w:rsidRPr="0081280A">
        <w:rPr>
          <w:rFonts w:ascii="Calibri" w:eastAsia="Times New Roman" w:hAnsi="Calibri" w:cs="Calibri"/>
          <w:sz w:val="20"/>
          <w:szCs w:val="20"/>
          <w:u w:val="single"/>
        </w:rPr>
        <w:t>el envío y recepción automática de requisitorias al MIR</w:t>
      </w:r>
      <w:r w:rsidRPr="0081280A">
        <w:rPr>
          <w:rFonts w:ascii="Calibri" w:eastAsia="Times New Roman" w:hAnsi="Calibri" w:cs="Calibri"/>
          <w:sz w:val="20"/>
          <w:szCs w:val="20"/>
        </w:rPr>
        <w:t xml:space="preserve"> o los relacionados con las </w:t>
      </w:r>
      <w:r w:rsidRPr="0081280A">
        <w:rPr>
          <w:rFonts w:ascii="Calibri" w:eastAsia="Times New Roman" w:hAnsi="Calibri" w:cs="Calibri"/>
          <w:sz w:val="20"/>
          <w:szCs w:val="20"/>
          <w:u w:val="single"/>
        </w:rPr>
        <w:t>solicitudes telemáticas de antecedentes</w:t>
      </w:r>
      <w:r w:rsidRPr="0081280A">
        <w:rPr>
          <w:rFonts w:ascii="Calibri" w:eastAsia="Times New Roman" w:hAnsi="Calibri" w:cs="Calibri"/>
          <w:sz w:val="20"/>
          <w:szCs w:val="20"/>
        </w:rPr>
        <w:t>.</w:t>
      </w:r>
    </w:p>
    <w:p w:rsidR="0081280A" w:rsidRPr="0081280A" w:rsidRDefault="0081280A" w:rsidP="0081280A">
      <w:pPr>
        <w:spacing w:after="0" w:line="240" w:lineRule="auto"/>
        <w:ind w:left="720"/>
        <w:rPr>
          <w:rFonts w:ascii="Calibri" w:eastAsia="Calibri" w:hAnsi="Calibri" w:cs="Calibri"/>
          <w:sz w:val="20"/>
          <w:szCs w:val="20"/>
        </w:rPr>
      </w:pPr>
    </w:p>
    <w:p w:rsidR="0081280A" w:rsidRPr="0081280A" w:rsidRDefault="0081280A" w:rsidP="0081280A">
      <w:pPr>
        <w:numPr>
          <w:ilvl w:val="0"/>
          <w:numId w:val="1"/>
        </w:numPr>
        <w:spacing w:after="0" w:line="240" w:lineRule="auto"/>
        <w:rPr>
          <w:rFonts w:ascii="Calibri" w:eastAsia="Times New Roman" w:hAnsi="Calibri" w:cs="Calibri"/>
          <w:sz w:val="20"/>
          <w:szCs w:val="20"/>
        </w:rPr>
      </w:pPr>
      <w:r w:rsidRPr="0081280A">
        <w:rPr>
          <w:rFonts w:ascii="Calibri" w:eastAsia="Times New Roman" w:hAnsi="Calibri" w:cs="Calibri"/>
          <w:sz w:val="20"/>
          <w:szCs w:val="20"/>
        </w:rPr>
        <w:t xml:space="preserve">La información a la que se podrá acceder </w:t>
      </w:r>
      <w:r w:rsidRPr="0081280A">
        <w:rPr>
          <w:rFonts w:ascii="Calibri" w:eastAsia="Times New Roman" w:hAnsi="Calibri" w:cs="Calibri"/>
          <w:sz w:val="20"/>
          <w:szCs w:val="20"/>
          <w:u w:val="single"/>
        </w:rPr>
        <w:t>será información real</w:t>
      </w:r>
      <w:r w:rsidRPr="0081280A">
        <w:rPr>
          <w:rFonts w:ascii="Calibri" w:eastAsia="Times New Roman" w:hAnsi="Calibri" w:cs="Calibri"/>
          <w:sz w:val="20"/>
          <w:szCs w:val="20"/>
        </w:rPr>
        <w:t xml:space="preserve">. En concreto, se trata de la información </w:t>
      </w:r>
      <w:r w:rsidRPr="0081280A">
        <w:rPr>
          <w:rFonts w:ascii="Calibri" w:eastAsia="Times New Roman" w:hAnsi="Calibri" w:cs="Calibri"/>
          <w:sz w:val="20"/>
          <w:szCs w:val="20"/>
          <w:u w:val="single"/>
        </w:rPr>
        <w:t>almacenada en SIRAJ y en RCPENADOS a día 28 de abril</w:t>
      </w:r>
      <w:r w:rsidRPr="0081280A">
        <w:rPr>
          <w:rFonts w:ascii="Calibri" w:eastAsia="Times New Roman" w:hAnsi="Calibri" w:cs="Calibri"/>
          <w:sz w:val="20"/>
          <w:szCs w:val="20"/>
        </w:rPr>
        <w:t xml:space="preserve">, que fue cuando se hizo la última copia. Por tanto, es importante recordar que se seguirá manteniendo </w:t>
      </w:r>
      <w:r w:rsidRPr="0081280A">
        <w:rPr>
          <w:rFonts w:ascii="Calibri" w:eastAsia="Times New Roman" w:hAnsi="Calibri" w:cs="Calibri"/>
          <w:sz w:val="20"/>
          <w:szCs w:val="20"/>
          <w:u w:val="single"/>
        </w:rPr>
        <w:t>la obligación de confidencialidad habitual.</w:t>
      </w:r>
    </w:p>
    <w:p w:rsidR="0081280A" w:rsidRPr="0081280A" w:rsidRDefault="0081280A" w:rsidP="0081280A">
      <w:pPr>
        <w:spacing w:after="0" w:line="240" w:lineRule="auto"/>
        <w:ind w:left="720"/>
        <w:rPr>
          <w:rFonts w:ascii="Calibri" w:eastAsia="Calibri" w:hAnsi="Calibri" w:cs="Calibri"/>
          <w:sz w:val="20"/>
          <w:szCs w:val="20"/>
        </w:rPr>
      </w:pPr>
    </w:p>
    <w:p w:rsidR="0081280A" w:rsidRPr="0081280A" w:rsidRDefault="0081280A" w:rsidP="0081280A">
      <w:pPr>
        <w:numPr>
          <w:ilvl w:val="0"/>
          <w:numId w:val="1"/>
        </w:numPr>
        <w:spacing w:after="0" w:line="240" w:lineRule="auto"/>
        <w:rPr>
          <w:rFonts w:ascii="Calibri" w:eastAsia="Times New Roman" w:hAnsi="Calibri" w:cs="Calibri"/>
          <w:sz w:val="20"/>
          <w:szCs w:val="20"/>
          <w:u w:val="single"/>
        </w:rPr>
      </w:pPr>
      <w:r w:rsidRPr="0081280A">
        <w:rPr>
          <w:rFonts w:ascii="Calibri" w:eastAsia="Times New Roman" w:hAnsi="Calibri" w:cs="Calibri"/>
          <w:sz w:val="20"/>
          <w:szCs w:val="20"/>
        </w:rPr>
        <w:t>Se recuerda que</w:t>
      </w:r>
      <w:r w:rsidRPr="0081280A">
        <w:rPr>
          <w:rFonts w:ascii="Calibri" w:eastAsia="Times New Roman" w:hAnsi="Calibri" w:cs="Calibri"/>
          <w:sz w:val="20"/>
          <w:szCs w:val="20"/>
          <w:u w:val="single"/>
        </w:rPr>
        <w:t xml:space="preserve"> </w:t>
      </w:r>
      <w:r w:rsidR="008E4EB7">
        <w:rPr>
          <w:rFonts w:ascii="Calibri" w:eastAsia="Times New Roman" w:hAnsi="Calibri" w:cs="Calibri"/>
          <w:b/>
          <w:sz w:val="20"/>
          <w:szCs w:val="20"/>
          <w:u w:val="single"/>
        </w:rPr>
        <w:t xml:space="preserve">NO </w:t>
      </w:r>
      <w:r w:rsidRPr="0081280A">
        <w:rPr>
          <w:rFonts w:ascii="Calibri" w:eastAsia="Times New Roman" w:hAnsi="Calibri" w:cs="Calibri"/>
          <w:b/>
          <w:sz w:val="20"/>
          <w:szCs w:val="20"/>
          <w:u w:val="single"/>
        </w:rPr>
        <w:t>estará disponible una gestión de incidencias o peticiones</w:t>
      </w:r>
      <w:r w:rsidRPr="0081280A">
        <w:rPr>
          <w:rFonts w:ascii="Calibri" w:eastAsia="Times New Roman" w:hAnsi="Calibri" w:cs="Calibri"/>
          <w:sz w:val="20"/>
          <w:szCs w:val="20"/>
        </w:rPr>
        <w:t xml:space="preserve"> ya que “PUENTE” es un entorno pensado tan solo para realizar una autoformación. Por tanto, </w:t>
      </w:r>
      <w:r w:rsidR="008E4EB7" w:rsidRPr="008E4EB7">
        <w:rPr>
          <w:rFonts w:ascii="Calibri" w:eastAsia="Times New Roman" w:hAnsi="Calibri" w:cs="Calibri"/>
          <w:b/>
          <w:sz w:val="20"/>
          <w:szCs w:val="20"/>
          <w:u w:val="single"/>
        </w:rPr>
        <w:t xml:space="preserve">NI </w:t>
      </w:r>
      <w:r w:rsidRPr="0081280A">
        <w:rPr>
          <w:rFonts w:ascii="Calibri" w:eastAsia="Times New Roman" w:hAnsi="Calibri" w:cs="Calibri"/>
          <w:b/>
          <w:sz w:val="20"/>
          <w:szCs w:val="20"/>
          <w:u w:val="single"/>
        </w:rPr>
        <w:t>CAU ni Registros Centrales responderán a incidencias o peticiones relacionadas con él.</w:t>
      </w:r>
    </w:p>
    <w:p w:rsidR="0081280A" w:rsidRPr="0081280A" w:rsidRDefault="0081280A" w:rsidP="0081280A">
      <w:pPr>
        <w:spacing w:after="0" w:line="240" w:lineRule="auto"/>
        <w:rPr>
          <w:rFonts w:ascii="Calibri" w:eastAsia="Calibri" w:hAnsi="Calibri" w:cs="Calibri"/>
          <w:sz w:val="20"/>
          <w:szCs w:val="20"/>
          <w:lang w:eastAsia="es-ES"/>
        </w:rPr>
      </w:pPr>
    </w:p>
    <w:p w:rsidR="0081280A" w:rsidRPr="0081280A" w:rsidRDefault="0081280A" w:rsidP="0081280A">
      <w:pPr>
        <w:numPr>
          <w:ilvl w:val="0"/>
          <w:numId w:val="1"/>
        </w:numPr>
        <w:spacing w:after="0" w:line="240" w:lineRule="auto"/>
        <w:rPr>
          <w:rFonts w:ascii="Calibri" w:eastAsia="Times New Roman" w:hAnsi="Calibri" w:cs="Calibri"/>
          <w:sz w:val="20"/>
          <w:szCs w:val="20"/>
        </w:rPr>
      </w:pPr>
      <w:r w:rsidRPr="0081280A">
        <w:rPr>
          <w:rFonts w:ascii="Calibri" w:eastAsia="Times New Roman" w:hAnsi="Calibri" w:cs="Calibri"/>
          <w:sz w:val="20"/>
          <w:szCs w:val="20"/>
        </w:rPr>
        <w:t xml:space="preserve">El entorno “PUENTE” tendrá </w:t>
      </w:r>
      <w:r w:rsidRPr="0081280A">
        <w:rPr>
          <w:rFonts w:ascii="Calibri" w:eastAsia="Times New Roman" w:hAnsi="Calibri" w:cs="Calibri"/>
          <w:sz w:val="20"/>
          <w:szCs w:val="20"/>
          <w:u w:val="single"/>
        </w:rPr>
        <w:t>una capacidad considerablemente menor</w:t>
      </w:r>
      <w:r w:rsidRPr="0081280A">
        <w:rPr>
          <w:rFonts w:ascii="Calibri" w:eastAsia="Times New Roman" w:hAnsi="Calibri" w:cs="Calibri"/>
          <w:sz w:val="20"/>
          <w:szCs w:val="20"/>
        </w:rPr>
        <w:t xml:space="preserve"> que el entorno final de Producción. Es por ello que en momentos puntuales en se podría notar una clara pérdida de rendimiento. </w:t>
      </w:r>
    </w:p>
    <w:p w:rsidR="0081280A" w:rsidRPr="0081280A" w:rsidRDefault="0081280A" w:rsidP="0081280A">
      <w:pPr>
        <w:spacing w:after="0" w:line="240" w:lineRule="auto"/>
        <w:ind w:left="720"/>
        <w:rPr>
          <w:rFonts w:ascii="Calibri" w:eastAsia="Calibri" w:hAnsi="Calibri" w:cs="Calibri"/>
          <w:sz w:val="20"/>
          <w:szCs w:val="20"/>
        </w:rPr>
      </w:pPr>
    </w:p>
    <w:p w:rsidR="0081280A" w:rsidRPr="0081280A" w:rsidRDefault="0081280A" w:rsidP="0081280A">
      <w:pPr>
        <w:numPr>
          <w:ilvl w:val="0"/>
          <w:numId w:val="1"/>
        </w:numPr>
        <w:spacing w:after="0" w:line="240" w:lineRule="auto"/>
        <w:rPr>
          <w:rFonts w:ascii="Calibri" w:eastAsia="Times New Roman" w:hAnsi="Calibri" w:cs="Calibri"/>
          <w:sz w:val="20"/>
          <w:szCs w:val="20"/>
        </w:rPr>
      </w:pPr>
      <w:r w:rsidRPr="0081280A">
        <w:rPr>
          <w:rFonts w:ascii="Calibri" w:eastAsia="Times New Roman" w:hAnsi="Calibri" w:cs="Calibri"/>
          <w:sz w:val="20"/>
          <w:szCs w:val="20"/>
        </w:rPr>
        <w:t>Tras la migración desde SIRAJ y PENADOS e implantación definitiva de SIRAJ2, el entorno “PUENTE” dejará de estar operativo a fin de evitar errores o malentendidos.</w:t>
      </w:r>
    </w:p>
    <w:p w:rsidR="0081280A" w:rsidRPr="0081280A" w:rsidRDefault="0081280A" w:rsidP="0081280A">
      <w:pPr>
        <w:spacing w:after="0" w:line="240" w:lineRule="auto"/>
        <w:ind w:left="720"/>
        <w:rPr>
          <w:rFonts w:ascii="Calibri" w:eastAsia="Calibri" w:hAnsi="Calibri" w:cs="Calibri"/>
          <w:sz w:val="20"/>
          <w:szCs w:val="20"/>
        </w:rPr>
      </w:pPr>
    </w:p>
    <w:p w:rsidR="0081280A" w:rsidRPr="0081280A" w:rsidRDefault="0081280A" w:rsidP="0081280A">
      <w:pPr>
        <w:numPr>
          <w:ilvl w:val="0"/>
          <w:numId w:val="1"/>
        </w:numPr>
        <w:spacing w:after="0" w:line="240" w:lineRule="auto"/>
        <w:rPr>
          <w:rFonts w:ascii="Calibri" w:eastAsia="Times New Roman" w:hAnsi="Calibri" w:cs="Calibri"/>
          <w:sz w:val="20"/>
          <w:szCs w:val="20"/>
        </w:rPr>
      </w:pPr>
      <w:r w:rsidRPr="0081280A">
        <w:rPr>
          <w:rFonts w:ascii="Calibri" w:eastAsia="Times New Roman" w:hAnsi="Calibri" w:cs="Calibri"/>
          <w:sz w:val="20"/>
          <w:szCs w:val="20"/>
        </w:rPr>
        <w:t xml:space="preserve">Los </w:t>
      </w:r>
      <w:r w:rsidRPr="0081280A">
        <w:rPr>
          <w:rFonts w:ascii="Calibri" w:eastAsia="Times New Roman" w:hAnsi="Calibri" w:cs="Calibri"/>
          <w:sz w:val="20"/>
          <w:szCs w:val="20"/>
          <w:u w:val="single"/>
        </w:rPr>
        <w:t>usuarios actuales de SIRAJ2 (de Sentencias Firmes de Menores y de Rebeldes Civiles)</w:t>
      </w:r>
      <w:r w:rsidRPr="0081280A">
        <w:rPr>
          <w:rFonts w:ascii="Calibri" w:eastAsia="Times New Roman" w:hAnsi="Calibri" w:cs="Calibri"/>
          <w:sz w:val="20"/>
          <w:szCs w:val="20"/>
        </w:rPr>
        <w:t xml:space="preserve"> </w:t>
      </w:r>
      <w:r w:rsidRPr="0081280A">
        <w:rPr>
          <w:rFonts w:ascii="Calibri" w:eastAsia="Times New Roman" w:hAnsi="Calibri" w:cs="Calibri"/>
          <w:sz w:val="20"/>
          <w:szCs w:val="20"/>
          <w:u w:val="single"/>
        </w:rPr>
        <w:t>deberán abstenerse de acceder</w:t>
      </w:r>
      <w:r w:rsidRPr="0081280A">
        <w:rPr>
          <w:rFonts w:ascii="Calibri" w:eastAsia="Times New Roman" w:hAnsi="Calibri" w:cs="Calibri"/>
          <w:sz w:val="20"/>
          <w:szCs w:val="20"/>
        </w:rPr>
        <w:t xml:space="preserve"> a “PUENTE” ya que podrían darse equívocos al pensar que estén trabajando en su entorno de Producción habitual.</w:t>
      </w:r>
    </w:p>
    <w:p w:rsidR="0081280A" w:rsidRPr="0081280A" w:rsidRDefault="0081280A" w:rsidP="0081280A">
      <w:pPr>
        <w:spacing w:after="0" w:line="240" w:lineRule="auto"/>
        <w:rPr>
          <w:rFonts w:ascii="Calibri" w:eastAsia="Calibri" w:hAnsi="Calibri" w:cs="Calibri"/>
          <w:sz w:val="20"/>
          <w:szCs w:val="20"/>
        </w:rPr>
      </w:pPr>
    </w:p>
    <w:p w:rsidR="0081280A" w:rsidRPr="0081280A" w:rsidRDefault="0081280A" w:rsidP="0081280A">
      <w:pPr>
        <w:spacing w:after="0" w:line="240" w:lineRule="auto"/>
        <w:rPr>
          <w:rFonts w:ascii="Calibri" w:eastAsia="Calibri" w:hAnsi="Calibri" w:cs="Calibri"/>
          <w:sz w:val="20"/>
          <w:szCs w:val="20"/>
        </w:rPr>
      </w:pPr>
    </w:p>
    <w:p w:rsidR="00270F48" w:rsidRDefault="00270F48"/>
    <w:sectPr w:rsidR="00270F4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CE7850"/>
    <w:multiLevelType w:val="hybridMultilevel"/>
    <w:tmpl w:val="D4E04C8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1B10"/>
    <w:rsid w:val="00131B10"/>
    <w:rsid w:val="00181B94"/>
    <w:rsid w:val="001F0FE2"/>
    <w:rsid w:val="00270F48"/>
    <w:rsid w:val="0081280A"/>
    <w:rsid w:val="008E4EB7"/>
    <w:rsid w:val="00D31A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BA78EE"/>
  <w15:chartTrackingRefBased/>
  <w15:docId w15:val="{4A042B6E-2C65-4B82-93EA-D61FBA7391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673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cid:image001.png@01D8615A.EA2E187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hyperlink" Target="https://siraj2puentefw3.justicia.es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cid:image003.png@01D8616A.87977F70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508</Words>
  <Characters>2794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Ministerio de Justicia</Company>
  <LinksUpToDate>false</LinksUpToDate>
  <CharactersWithSpaces>3296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INDURRIA JIMENEZ, ARANZAZU</dc:creator>
  <cp:keywords/>
  <dc:description/>
  <cp:lastModifiedBy>GARRIDO RAMOS, JAVIER</cp:lastModifiedBy>
  <cp:revision>2</cp:revision>
  <dcterms:created xsi:type="dcterms:W3CDTF">2022-05-12T17:21:00Z</dcterms:created>
  <dcterms:modified xsi:type="dcterms:W3CDTF">2022-05-12T17:21:00Z</dcterms:modified>
</cp:coreProperties>
</file>