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center"/>
      </w:pPr>
      <w:r>
        <w:rPr>
          <w:rFonts w:ascii="Courier New" w:cs="Courier New" w:hAnsi="Courier New"/>
          <w:b/>
          <w:bCs/>
          <w:sz w:val="30"/>
          <w:szCs w:val="30"/>
          <w:u w:val="single"/>
        </w:rPr>
        <w:t>D E C R E T O</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center"/>
      </w:pPr>
      <w:r>
        <w:rPr>
          <w:rFonts w:ascii="Courier New" w:cs="Courier New" w:hAnsi="Courier New"/>
          <w:b/>
          <w:bCs/>
          <w:u w:val="single"/>
        </w:rPr>
        <w:t>ANTECEDENTES DE HECHO</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b/>
          <w:bCs/>
        </w:rPr>
        <w:t>UNICO.-</w:t>
      </w:r>
      <w:r>
        <w:rPr>
          <w:rFonts w:ascii="Courier New" w:cs="Courier New" w:hAnsi="Courier New"/>
          <w:b w:val="false"/>
          <w:bCs w:val="false"/>
        </w:rPr>
        <w:t xml:space="preserve">******** </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center"/>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center"/>
      </w:pPr>
      <w:r>
        <w:rPr>
          <w:rFonts w:ascii="Courier New" w:cs="Courier New" w:hAnsi="Courier New"/>
          <w:b/>
          <w:bCs/>
        </w:rPr>
        <w:t>FUNDAMENTOS DE DERECHO</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20" w:val="left"/>
          <w:tab w:leader="none" w:pos="1440" w:val="left"/>
          <w:tab w:leader="none" w:pos="2160" w:val="left"/>
          <w:tab w:leader="none" w:pos="2880" w:val="left"/>
          <w:tab w:leader="none" w:pos="3600" w:val="left"/>
          <w:tab w:leader="none" w:pos="4320" w:val="left"/>
          <w:tab w:leader="none" w:pos="5040" w:val="left"/>
          <w:tab w:leader="none" w:pos="5760" w:val="left"/>
          <w:tab w:leader="none" w:pos="6480" w:val="left"/>
          <w:tab w:leader="none" w:pos="7200" w:val="left"/>
          <w:tab w:leader="none" w:pos="7920" w:val="left"/>
          <w:tab w:leader="none" w:pos="8640" w:val="left"/>
          <w:tab w:leader="none" w:pos="9360" w:val="left"/>
          <w:tab w:leader="none" w:pos="10080" w:val="left"/>
        </w:tabs>
        <w:spacing w:after="100" w:before="100"/>
        <w:contextualSpacing w:val="false"/>
        <w:jc w:val="both"/>
      </w:pPr>
      <w:r>
        <w:rPr>
          <w:rFonts w:ascii="Courier New" w:cs="Courier New" w:hAnsi="Courier New"/>
          <w:b/>
          <w:bCs/>
        </w:rPr>
        <w:t>PRIMERO-</w:t>
      </w:r>
      <w:r>
        <w:rPr>
          <w:rFonts w:ascii="Courier New" w:cs="Courier New" w:hAnsi="Courier New"/>
          <w:color w:val="000000"/>
        </w:rPr>
        <w:t xml:space="preserve"> La Ley 41/2002 de 14 de noviembre, básica, reguladora de la autonomía del paciente y de derechos y obligaciones en materia de información y documentación clínica, en su artículo 16.3 señala "El acceso a la historia clínica con fines judiciales, epidemiológicos, de salud pública, de investigación o de docencia, se rige por lo dispuesto en la</w:t>
      </w:r>
      <w:r>
        <w:rPr>
          <w:rStyle w:val="style15"/>
          <w:rFonts w:ascii="Courier New" w:cs="Courier New" w:hAnsi="Courier New"/>
          <w:color w:val="000000"/>
        </w:rPr>
        <w:t xml:space="preserve"> </w:t>
      </w:r>
      <w:r>
        <w:rPr>
          <w:rStyle w:val="style15"/>
          <w:rFonts w:ascii="Courier New" w:cs="Courier New" w:hAnsi="Courier New"/>
          <w:color w:val="000000"/>
          <w:u w:val="none"/>
        </w:rPr>
        <w:t>Ley Orgánica 15/1999, de Protección de Datos de Carácter Persona</w:t>
      </w:r>
      <w:r>
        <w:rPr>
          <w:rFonts w:ascii="Courier New" w:cs="Courier New" w:hAnsi="Courier New"/>
          <w:color w:val="000000"/>
          <w:u w:val="none"/>
        </w:rPr>
        <w:t xml:space="preserve">l, y en la </w:t>
      </w:r>
      <w:r>
        <w:rPr>
          <w:rStyle w:val="style15"/>
          <w:rFonts w:ascii="Courier New" w:cs="Courier New" w:hAnsi="Courier New"/>
          <w:color w:val="000000"/>
          <w:u w:val="none"/>
        </w:rPr>
        <w:t>Ley 14/1986,General de Sanidad,</w:t>
      </w:r>
      <w:r>
        <w:rPr>
          <w:rFonts w:ascii="Courier New" w:cs="Courier New" w:hAnsi="Courier New"/>
          <w:color w:val="000000"/>
          <w:u w:val="none"/>
        </w:rPr>
        <w:t xml:space="preserve"> y demás normas de aplicación en cada caso. El acceso a </w:t>
      </w:r>
      <w:r>
        <w:rPr>
          <w:rFonts w:ascii="Courier New" w:cs="Courier New" w:hAnsi="Courier New"/>
          <w:color w:val="000000"/>
        </w:rPr>
        <w:t xml:space="preserve">la historia clínica con estos fines obliga a preservar los datos de identificación personal del paciente, separados de los de carácter clínico-asistencial, de manera que como regla general quede asegurado el anonimato, salvo que el propio paciente haya dado su consentimiento para no separarlos. Se exceptúan los supuestos de investigación de la autoridad judicial en los que se considere imprescindible la unificación de los datos identificativos con los clínico-asistenciales, en los cuales se estará a lo que dispongan los jueces y tribunales en el proceso correspondiente. El acceso a los datos y documentos de la historia clínica queda limitado estrictamente a los fines específicos de cada caso". </w:t>
      </w:r>
    </w:p>
    <w:p>
      <w:pPr>
        <w:pStyle w:val="style0"/>
        <w:widowControl w:val="false"/>
        <w:tabs>
          <w:tab w:leader="none" w:pos="720" w:val="left"/>
          <w:tab w:leader="none" w:pos="1440" w:val="left"/>
          <w:tab w:leader="none" w:pos="2160" w:val="left"/>
          <w:tab w:leader="none" w:pos="2880" w:val="left"/>
          <w:tab w:leader="none" w:pos="3600" w:val="left"/>
          <w:tab w:leader="none" w:pos="4320" w:val="left"/>
          <w:tab w:leader="none" w:pos="5040" w:val="left"/>
          <w:tab w:leader="none" w:pos="5760" w:val="left"/>
          <w:tab w:leader="none" w:pos="6480" w:val="left"/>
          <w:tab w:leader="none" w:pos="7200" w:val="left"/>
          <w:tab w:leader="none" w:pos="7920" w:val="left"/>
          <w:tab w:leader="none" w:pos="8640" w:val="left"/>
          <w:tab w:leader="none" w:pos="9360" w:val="left"/>
          <w:tab w:leader="none" w:pos="10080" w:val="left"/>
        </w:tabs>
        <w:spacing w:after="100" w:before="100"/>
        <w:contextualSpacing w:val="false"/>
        <w:jc w:val="both"/>
      </w:pPr>
      <w:r>
        <w:rPr>
          <w:rFonts w:ascii="Courier New" w:cs="Courier New" w:hAnsi="Courier New"/>
          <w:color w:val="000000"/>
        </w:rPr>
        <w:t>Además, la misma Ley Orgánica 15/1999 de 13 de diciembre, de protección de datos de carácter personal refiere en su artículo 11.2.d respecto a la regla general del consentimiento por parte del interesado, respecto a la comunicación de datos, la excepción de dicho consentimiento cuando “la comunicación tenga por destinatario Jueces o Tribunales, en el ejercicio que tienen atribuidas”.</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b/>
          <w:bCs/>
        </w:rPr>
        <w:t>SEGUNDO.-</w:t>
      </w:r>
      <w:r>
        <w:rPr>
          <w:rFonts w:ascii="Courier New" w:cs="Courier New" w:hAnsi="Courier New"/>
        </w:rPr>
        <w:t xml:space="preserve"> Debe concederse a la parte demandada la posibilidad de conocer la posible existencia de dolencias crónicas en los lesionados que puedan influir en el resultado final</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rPr>
        <w:t>Cabe efectuar la siguientes consideraciones:</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Fonts w:ascii="Courier New" w:cs="Courier New" w:hAnsi="Courier New"/>
          <w:color w:val="000000"/>
        </w:rPr>
        <w:t>1.- La información sanitaria de un ciudadano afecta al ámbito de su intimidad, derecho personalísimo e intransferible, que ampara, entre otras y, a los efectos que nos interesan, la Ley Orgánica de Protección de Datos de Carácter Personal (a</w:t>
      </w:r>
      <w:r>
        <w:rPr>
          <w:rFonts w:ascii="Courier New" w:cs="Courier New" w:hAnsi="Courier New"/>
          <w:i/>
          <w:iCs/>
          <w:color w:val="000000"/>
        </w:rPr>
        <w:t xml:space="preserve">rts. 7, 8 y concordantes) </w:t>
      </w:r>
      <w:r>
        <w:rPr>
          <w:rFonts w:ascii="Courier New" w:cs="Courier New" w:hAnsi="Courier New"/>
          <w:color w:val="000000"/>
        </w:rPr>
        <w:t xml:space="preserve"> </w:t>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Fonts w:ascii="Courier New" w:cs="Courier New" w:hAnsi="Courier New"/>
          <w:color w:val="000000"/>
        </w:rPr>
        <w:t>2º- que la historia clínica forma parte de un expediente administrativo y su titularidad es pública, sin perjuicio de eventuales incidencias civilistas tutelables</w:t>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Fonts w:ascii="Courier New" w:cs="Courier New" w:eastAsia="Courier New" w:hAnsi="Courier New"/>
          <w:color w:val="000000"/>
        </w:rPr>
        <w:t xml:space="preserve"> </w:t>
      </w:r>
      <w:r>
        <w:rPr>
          <w:rFonts w:ascii="Courier New" w:cs="Courier New" w:hAnsi="Courier New"/>
          <w:color w:val="000000"/>
        </w:rPr>
        <w:t>3º- que la comunicación de tales datos en cumplimiento de la obligada colaboración con la Administración de Justicia debe regirse por criterios de selección judicial especialmente cautelosos y prudentes, con el fin de garantizar la protección del derecho a la intimidad, permitiendo, al mismo tiempo, la consecución de los objetivos del proceso</w:t>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Fonts w:ascii="Courier New" w:cs="Courier New" w:hAnsi="Courier New"/>
          <w:color w:val="000000"/>
        </w:rPr>
        <w:t xml:space="preserve">4º- que cuando la información es requerida por un particular, un tercero , deben ponderarse las consideraciones siguientes: </w:t>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Fonts w:ascii="Courier New" w:cs="Courier New" w:hAnsi="Courier New"/>
          <w:color w:val="000000"/>
        </w:rPr>
        <w:t xml:space="preserve">A) que los datos de la historia clínica responden a la información asistencial generada en la atención sanitaria de una persona en un centro sanitario en todas y cada una de sus visitas al mismo, y en ella están dispuestos de tal manera que permiten su consulta integrada, ordenada, coherente y selectiva en relación con cada una de las visitas y procesos asistenciales por los que ha sido atendido dicho paciente en ese centro; por tanto, cualquier acceso a la historia clínica debe ser restringido a la información adecuada al motivo, evitando las consultas generalizadas e indiscriminadas de todo su contenido. </w:t>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Fonts w:ascii="Courier New" w:cs="Courier New" w:hAnsi="Courier New"/>
          <w:color w:val="000000"/>
        </w:rPr>
        <w:t xml:space="preserve">B) Que el deber de secreto y el principio de confidencialidad que rigen la gestión de estos archivos no cesa con la muerte del paciente, aunque el derecho a la intimidad carezca de titular por fallecimiento del interesado. </w:t>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Fonts w:ascii="Courier New" w:cs="Courier New" w:hAnsi="Courier New"/>
          <w:color w:val="000000"/>
        </w:rPr>
        <w:t>C) Que la historia clínica surge para el tratamiento del paciente y su uso,sin distinción en el tipo o naturaleza del dato, debe quedar mayoritariamente restringido al ámbito sanitario; de modo que cualquier otra causa de acceso a esa información debe ser excepcional, debe responder a un interés legítimo susceptible de protección legal y estar suficiente y adecuadamente motivado, y cuando se re</w:t>
      </w:r>
      <w:r>
        <w:rPr>
          <w:rFonts w:ascii="Courier New" w:cs="Courier New" w:hAnsi="Courier New"/>
          <w:color w:val="000000"/>
        </w:rPr>
        <w:t>ú</w:t>
      </w:r>
      <w:r>
        <w:rPr>
          <w:rFonts w:ascii="Courier New" w:cs="Courier New" w:hAnsi="Courier New"/>
          <w:color w:val="000000"/>
        </w:rPr>
        <w:t>nan tales condiciones, habrá además de justificar la necesidad de una información indiscriminada, pues otros posibles usos, distintos de los sanitarios, pueden satisfacerse mediante informes específicos relativos al motivo de la consulta</w:t>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b/>
          <w:bCs/>
        </w:rPr>
        <w:t>TERCERO.-</w:t>
      </w:r>
      <w:r>
        <w:rPr>
          <w:rFonts w:ascii="Courier New" w:cs="Courier New" w:hAnsi="Courier New"/>
        </w:rPr>
        <w:t xml:space="preserve">  L</w:t>
      </w:r>
      <w:r>
        <w:rPr>
          <w:rFonts w:ascii="Courier New" w:cs="Courier New" w:hAnsi="Courier New"/>
          <w:b w:val="false"/>
          <w:bCs w:val="false"/>
        </w:rPr>
        <w:t>os oficios interesados por la parte demandada constituyen una actuaci</w:t>
      </w:r>
      <w:r>
        <w:rPr>
          <w:rFonts w:ascii="Courier New" w:cs="Courier New" w:hAnsi="Courier New"/>
          <w:b w:val="false"/>
          <w:bCs w:val="false"/>
        </w:rPr>
        <w:t>ó</w:t>
      </w:r>
      <w:r>
        <w:rPr>
          <w:rFonts w:ascii="Courier New" w:cs="Courier New" w:hAnsi="Courier New"/>
          <w:b w:val="false"/>
          <w:bCs w:val="false"/>
        </w:rPr>
        <w:t>n procesal solicitada por la misma, interesando auxilio judicial como paso previo necesario a fin de elaborar su informe pericial, habida cuenta que, conforme a la LEC, debe presentar su informe per</w:t>
      </w:r>
      <w:r>
        <w:rPr>
          <w:rFonts w:ascii="Courier New" w:cs="Courier New" w:hAnsi="Courier New"/>
          <w:b w:val="false"/>
          <w:bCs w:val="false"/>
        </w:rPr>
        <w:t>i</w:t>
      </w:r>
      <w:r>
        <w:rPr>
          <w:rFonts w:ascii="Courier New" w:cs="Courier New" w:hAnsi="Courier New"/>
          <w:b w:val="false"/>
          <w:bCs w:val="false"/>
        </w:rPr>
        <w:t>cial, como máximo, cinco d</w:t>
      </w:r>
      <w:r>
        <w:rPr>
          <w:rFonts w:ascii="Courier New" w:cs="Courier New" w:hAnsi="Courier New"/>
          <w:b w:val="false"/>
          <w:bCs w:val="false"/>
        </w:rPr>
        <w:t>í</w:t>
      </w:r>
      <w:r>
        <w:rPr>
          <w:rFonts w:ascii="Courier New" w:cs="Courier New" w:hAnsi="Courier New"/>
          <w:b w:val="false"/>
          <w:bCs w:val="false"/>
        </w:rPr>
        <w:t>as antes de la audiencia previa del juicio ordinario. Siendo así las cosas, en aras de la debida observancia del principio de igualdad de armas en el proceso, procede acceder a lo interesado, y expedir los correspondientes oficios indicados en su escrito de contestación a la demanda, a fin de poder completar en tiempo y forma su informe per</w:t>
      </w:r>
      <w:r>
        <w:rPr>
          <w:rFonts w:ascii="Courier New" w:cs="Courier New" w:hAnsi="Courier New"/>
          <w:b w:val="false"/>
          <w:bCs w:val="false"/>
        </w:rPr>
        <w:t>i</w:t>
      </w:r>
      <w:r>
        <w:rPr>
          <w:rFonts w:ascii="Courier New" w:cs="Courier New" w:hAnsi="Courier New"/>
          <w:b w:val="false"/>
          <w:bCs w:val="false"/>
        </w:rPr>
        <w:t>cial, sin perju</w:t>
      </w:r>
      <w:r>
        <w:rPr>
          <w:rFonts w:ascii="Courier New" w:cs="Courier New" w:hAnsi="Courier New"/>
          <w:b w:val="false"/>
          <w:bCs w:val="false"/>
        </w:rPr>
        <w:t>i</w:t>
      </w:r>
      <w:r>
        <w:rPr>
          <w:rFonts w:ascii="Courier New" w:cs="Courier New" w:hAnsi="Courier New"/>
          <w:b w:val="false"/>
          <w:bCs w:val="false"/>
        </w:rPr>
        <w:t>cio de que la admisión como prueba de este último, se llevará a cabo en el momento procesal oportuno, esto es, el acto de la audiencia previa, y ello por cuanto:</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b w:val="false"/>
          <w:bCs w:val="false"/>
        </w:rPr>
        <w:t xml:space="preserve">1.- La parte demandada ha indicado las </w:t>
      </w:r>
      <w:r>
        <w:rPr>
          <w:rFonts w:ascii="Courier New" w:cs="Courier New" w:hAnsi="Courier New"/>
        </w:rPr>
        <w:t xml:space="preserve"> razones por las que  interesa dichos oficios</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rPr>
        <w:t>2.- y además, valorando lo anterior, por la parte demandada se ha acotado la solicitud de remisión de los historiales clínicos respecto a los puntos a que debía referirse, a fin de preservar el derecho a la intimidad y las prevenciones contenidas en la Ley de protecci</w:t>
      </w:r>
      <w:r>
        <w:rPr>
          <w:rFonts w:ascii="Courier New" w:cs="Courier New" w:hAnsi="Courier New"/>
        </w:rPr>
        <w:t>ó</w:t>
      </w:r>
      <w:r>
        <w:rPr>
          <w:rFonts w:ascii="Courier New" w:cs="Courier New" w:hAnsi="Courier New"/>
        </w:rPr>
        <w:t>n de Datos, acotación que ya fija la propia demandada en su escrito de contestación</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center"/>
      </w:pPr>
      <w:r>
        <w:rPr>
          <w:rFonts w:ascii="Courier New" w:cs="Courier New" w:hAnsi="Courier New"/>
          <w:b/>
          <w:bCs/>
          <w:u w:val="single"/>
        </w:rPr>
        <w:t>PARTE DISPOSITIVA</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b/>
          <w:bCs/>
        </w:rPr>
        <w:t>ACUERDO:</w:t>
      </w:r>
      <w:r>
        <w:rPr>
          <w:rFonts w:ascii="Courier New" w:cs="Courier New" w:hAnsi="Courier New"/>
        </w:rPr>
        <w:t xml:space="preserve"> Librar los oficios interesados por la parte demandada a los Hospitales ******, debiendo remitir a esta Oficina Judicial historial clínico de ******** limitado a las siguientes zonas corporales *********</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b/>
          <w:bCs/>
        </w:rPr>
        <w:t>MODO DE IMPUGNACIÓN</w:t>
      </w:r>
      <w:r>
        <w:rPr>
          <w:rFonts w:ascii="Courier New" w:cs="Courier New" w:hAnsi="Courier New"/>
        </w:rPr>
        <w:t>: no cabe recurso alguno, sin perjuicio de que la parte puede recurrir la cuestión, necesariamente, en la primera audiencia ante el Tribunal (art 454 bis de la LEC)</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rPr>
        <w:t>Así lo acuerda y firmo</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Fonts w:ascii="Courier New" w:cs="Courier New" w:hAnsi="Courier New"/>
        </w:rPr>
        <w:tab/>
        <w:tab/>
        <w:t>EL/LA SECRETARIO JUDICIAL,</w:t>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widowControl w:val="false"/>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spacing w:line="240" w:lineRule="exact"/>
        <w:jc w:val="both"/>
      </w:pPr>
      <w:r>
        <w:rPr/>
      </w:r>
    </w:p>
    <w:p>
      <w:pPr>
        <w:pStyle w:val="style0"/>
      </w:pPr>
      <w:r>
        <w:rPr/>
      </w:r>
    </w:p>
    <w:sectPr>
      <w:footerReference r:id="rId2" w:type="default"/>
      <w:type w:val="nextPage"/>
      <w:pgSz w:h="16838" w:w="11906"/>
      <w:pgMar w:bottom="1693" w:footer="1134" w:gutter="0" w:header="0" w:left="1134" w:right="1134" w:top="1134"/>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23"/>
    </w:pPr>
    <w:r>
      <w:rPr/>
    </w:r>
  </w:p>
</w:ftr>
</file>

<file path=word/settings.xml><?xml version="1.0" encoding="utf-8"?>
<w:settings xmlns:w="http://schemas.openxmlformats.org/wordprocessingml/2006/main">
  <w:zoom w:percent="100"/>
</w:settings>
</file>

<file path=word/styles.xml><?xml version="1.0" encoding="utf-8"?>
<w:styles xmlns:w="http://schemas.openxmlformats.org/wordprocessingml/2006/main">
  <w:style w:styleId="style0" w:type="paragraph">
    <w:name w:val="Predeterminado"/>
    <w:next w:val="style0"/>
    <w:pPr>
      <w:widowControl w:val="false"/>
      <w:tabs/>
      <w:suppressAutoHyphens w:val="true"/>
      <w:overflowPunct w:val="false"/>
    </w:pPr>
    <w:rPr>
      <w:rFonts w:ascii="Times New Roman" w:cs="Mangal" w:eastAsia="Lucida Sans Unicode" w:hAnsi="Times New Roman"/>
      <w:color w:val="00000A"/>
      <w:sz w:val="24"/>
      <w:szCs w:val="24"/>
      <w:lang w:bidi="hi-IN" w:eastAsia="zh-CN" w:val="es-ES"/>
    </w:rPr>
  </w:style>
  <w:style w:styleId="style15" w:type="character">
    <w:name w:val="Enlace de Internet"/>
    <w:next w:val="style15"/>
    <w:rPr>
      <w:color w:val="0000FF"/>
      <w:u w:val="single"/>
      <w:lang w:bidi="es-ES" w:eastAsia="es-ES" w:val="es-ES"/>
    </w:rPr>
  </w:style>
  <w:style w:styleId="style16" w:type="character">
    <w:name w:val="Fuente de párrafo predeter."/>
    <w:next w:val="style16"/>
    <w:rPr/>
  </w:style>
  <w:style w:styleId="style17" w:type="character">
    <w:name w:val="Absatz-Standardschriftart"/>
    <w:next w:val="style17"/>
    <w:rPr/>
  </w:style>
  <w:style w:styleId="style18" w:type="paragraph">
    <w:name w:val="Encabezado"/>
    <w:basedOn w:val="style0"/>
    <w:next w:val="style19"/>
    <w:pPr>
      <w:keepNext/>
      <w:spacing w:after="120" w:before="240"/>
      <w:contextualSpacing w:val="false"/>
    </w:pPr>
    <w:rPr>
      <w:rFonts w:ascii="Arial" w:cs="Mangal" w:eastAsia="Lucida Sans Unicode" w:hAnsi="Arial"/>
      <w:sz w:val="28"/>
      <w:szCs w:val="28"/>
    </w:rPr>
  </w:style>
  <w:style w:styleId="style19" w:type="paragraph">
    <w:name w:val="Cuerpo de texto"/>
    <w:basedOn w:val="style0"/>
    <w:next w:val="style19"/>
    <w:pPr>
      <w:spacing w:after="120" w:before="0"/>
      <w:contextualSpacing w:val="false"/>
    </w:pPr>
    <w:rPr/>
  </w:style>
  <w:style w:styleId="style20" w:type="paragraph">
    <w:name w:val="Lista"/>
    <w:basedOn w:val="style19"/>
    <w:next w:val="style20"/>
    <w:pPr/>
    <w:rPr>
      <w:rFonts w:cs="Mangal"/>
    </w:rPr>
  </w:style>
  <w:style w:styleId="style21" w:type="paragraph">
    <w:name w:val="Etiqueta"/>
    <w:basedOn w:val="style0"/>
    <w:next w:val="style21"/>
    <w:pPr>
      <w:suppressLineNumbers/>
      <w:spacing w:after="120" w:before="120"/>
      <w:contextualSpacing w:val="false"/>
    </w:pPr>
    <w:rPr>
      <w:rFonts w:cs="Mangal"/>
      <w:i/>
      <w:iCs/>
      <w:sz w:val="24"/>
      <w:szCs w:val="24"/>
    </w:rPr>
  </w:style>
  <w:style w:styleId="style22" w:type="paragraph">
    <w:name w:val="Índice"/>
    <w:basedOn w:val="style0"/>
    <w:next w:val="style22"/>
    <w:pPr>
      <w:suppressLineNumbers/>
    </w:pPr>
    <w:rPr>
      <w:rFonts w:cs="Mangal"/>
    </w:rPr>
  </w:style>
  <w:style w:styleId="style23" w:type="paragraph">
    <w:name w:val="Pie de página"/>
    <w:basedOn w:val="style0"/>
    <w:next w:val="style23"/>
    <w:pPr>
      <w:suppressLineNumbers/>
      <w:tabs>
        <w:tab w:leader="none" w:pos="4819" w:val="center"/>
        <w:tab w:leader="none" w:pos="9638" w:val="right"/>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2013-01-23T13:30:22.17Z</dcterms:created>
  <cp:revision>0</cp:revision>
</cp:coreProperties>
</file>